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16811" w:rsidRDefault="00D16811" w:rsidP="00D245FB">
      <w:pPr>
        <w:spacing w:before="100" w:beforeAutospacing="1" w:after="100" w:afterAutospacing="1" w:line="360" w:lineRule="auto"/>
        <w:jc w:val="center"/>
        <w:outlineLvl w:val="0"/>
        <w:rPr>
          <w:rFonts w:ascii="Times New Roman" w:eastAsia="Times New Roman" w:hAnsi="Times New Roman" w:cs="Times New Roman"/>
          <w:b/>
          <w:bCs/>
          <w:kern w:val="36"/>
          <w:sz w:val="48"/>
          <w:szCs w:val="48"/>
          <w:lang w:eastAsia="pl-PL"/>
        </w:rPr>
      </w:pPr>
      <w:r>
        <w:rPr>
          <w:rFonts w:ascii="Times New Roman" w:eastAsia="Times New Roman" w:hAnsi="Times New Roman" w:cs="Times New Roman"/>
          <w:b/>
          <w:bCs/>
          <w:kern w:val="36"/>
          <w:sz w:val="48"/>
          <w:szCs w:val="48"/>
          <w:lang w:eastAsia="pl-PL"/>
        </w:rPr>
        <w:t>PORADNIK BENEFICJENTA</w:t>
      </w:r>
    </w:p>
    <w:p w:rsidR="00D16811" w:rsidRPr="00D16811" w:rsidRDefault="00D16811" w:rsidP="00D16811">
      <w:pPr>
        <w:spacing w:before="100" w:beforeAutospacing="1" w:after="100" w:afterAutospacing="1" w:line="360" w:lineRule="auto"/>
        <w:jc w:val="both"/>
        <w:outlineLvl w:val="0"/>
        <w:rPr>
          <w:rFonts w:ascii="Times New Roman" w:eastAsia="Times New Roman" w:hAnsi="Times New Roman" w:cs="Times New Roman"/>
          <w:b/>
          <w:bCs/>
          <w:kern w:val="36"/>
          <w:sz w:val="48"/>
          <w:szCs w:val="48"/>
          <w:lang w:eastAsia="pl-PL"/>
        </w:rPr>
      </w:pPr>
      <w:r w:rsidRPr="00D16811">
        <w:rPr>
          <w:rFonts w:ascii="Times New Roman" w:eastAsia="Times New Roman" w:hAnsi="Times New Roman" w:cs="Times New Roman"/>
          <w:b/>
          <w:bCs/>
          <w:kern w:val="36"/>
          <w:sz w:val="48"/>
          <w:szCs w:val="48"/>
          <w:lang w:eastAsia="pl-PL"/>
        </w:rPr>
        <w:t>Zaliczka czy Wyprzedzające finansowanie</w:t>
      </w:r>
    </w:p>
    <w:p w:rsidR="00D16811" w:rsidRPr="00D16811" w:rsidRDefault="00D16811" w:rsidP="00D16811">
      <w:pPr>
        <w:spacing w:before="100" w:beforeAutospacing="1" w:after="100" w:afterAutospacing="1" w:line="360" w:lineRule="auto"/>
        <w:rPr>
          <w:rFonts w:ascii="Times New Roman" w:eastAsia="Times New Roman" w:hAnsi="Times New Roman" w:cs="Times New Roman"/>
          <w:sz w:val="24"/>
          <w:szCs w:val="24"/>
          <w:lang w:eastAsia="pl-PL"/>
        </w:rPr>
      </w:pPr>
      <w:r w:rsidRPr="00D16811">
        <w:rPr>
          <w:rFonts w:ascii="Times New Roman" w:eastAsia="Times New Roman" w:hAnsi="Times New Roman" w:cs="Times New Roman"/>
          <w:b/>
          <w:bCs/>
          <w:sz w:val="24"/>
          <w:szCs w:val="24"/>
          <w:lang w:eastAsia="pl-PL"/>
        </w:rPr>
        <w:t>Zaliczki i wyprzedzające finansowanie w ramach Planu Strategicznego Wspólnej Polityki Rolnej (PS WPR) pełnią kluczową rolę w zapewnieniu płynności finansowej beneficjentom oraz sprawnej realizacji projektów. Ich wprowadzenie ma na celu wsparcie wnioskodawców w początkowej fazie realizacji operacji oraz w sytuacjach, gdy konieczne jest szybkie pokrycie kosztów związanych z przedsięwzięciem.</w:t>
      </w:r>
    </w:p>
    <w:p w:rsidR="00D16811" w:rsidRPr="00D16811" w:rsidRDefault="00D16811" w:rsidP="00D16811">
      <w:pPr>
        <w:spacing w:before="100" w:beforeAutospacing="1" w:after="100" w:afterAutospacing="1" w:line="360" w:lineRule="auto"/>
        <w:outlineLvl w:val="4"/>
        <w:rPr>
          <w:rFonts w:ascii="Times New Roman" w:eastAsia="Times New Roman" w:hAnsi="Times New Roman" w:cs="Times New Roman"/>
          <w:b/>
          <w:bCs/>
          <w:sz w:val="20"/>
          <w:szCs w:val="20"/>
          <w:lang w:eastAsia="pl-PL"/>
        </w:rPr>
      </w:pPr>
      <w:r w:rsidRPr="00D16811">
        <w:rPr>
          <w:rFonts w:ascii="Times New Roman" w:eastAsia="Times New Roman" w:hAnsi="Times New Roman" w:cs="Times New Roman"/>
          <w:b/>
          <w:bCs/>
          <w:sz w:val="20"/>
          <w:szCs w:val="20"/>
          <w:lang w:eastAsia="pl-PL"/>
        </w:rPr>
        <w:t>Zaliczka</w:t>
      </w:r>
    </w:p>
    <w:p w:rsidR="00D16811" w:rsidRPr="00D16811" w:rsidRDefault="00D16811" w:rsidP="00D16811">
      <w:pPr>
        <w:spacing w:before="100" w:beforeAutospacing="1" w:after="100" w:afterAutospacing="1" w:line="360" w:lineRule="auto"/>
        <w:rPr>
          <w:rFonts w:ascii="Times New Roman" w:eastAsia="Times New Roman" w:hAnsi="Times New Roman" w:cs="Times New Roman"/>
          <w:sz w:val="24"/>
          <w:szCs w:val="24"/>
          <w:lang w:eastAsia="pl-PL"/>
        </w:rPr>
      </w:pPr>
      <w:r w:rsidRPr="00D16811">
        <w:rPr>
          <w:rFonts w:ascii="Times New Roman" w:eastAsia="Times New Roman" w:hAnsi="Times New Roman" w:cs="Times New Roman"/>
          <w:sz w:val="24"/>
          <w:szCs w:val="24"/>
          <w:lang w:eastAsia="pl-PL"/>
        </w:rPr>
        <w:t>Beneficjentom ubiegającym się o dofinansowanie projektów może być wypłacona zaliczka, o której mowa w art. 44 ust. 3 rozporządzenia 2021/2116, w wysokości nieprzekraczającej 50% kwoty przyznanej pomocy.</w:t>
      </w:r>
    </w:p>
    <w:p w:rsidR="00D16811" w:rsidRPr="00D16811" w:rsidRDefault="00D16811" w:rsidP="00D16811">
      <w:pPr>
        <w:numPr>
          <w:ilvl w:val="0"/>
          <w:numId w:val="1"/>
        </w:numPr>
        <w:spacing w:before="100" w:beforeAutospacing="1" w:after="100" w:afterAutospacing="1" w:line="360" w:lineRule="auto"/>
        <w:rPr>
          <w:rFonts w:ascii="Times New Roman" w:eastAsia="Times New Roman" w:hAnsi="Times New Roman" w:cs="Times New Roman"/>
          <w:sz w:val="24"/>
          <w:szCs w:val="24"/>
          <w:lang w:eastAsia="pl-PL"/>
        </w:rPr>
      </w:pPr>
      <w:r w:rsidRPr="00D16811">
        <w:rPr>
          <w:rFonts w:ascii="Times New Roman" w:eastAsia="Times New Roman" w:hAnsi="Times New Roman" w:cs="Times New Roman"/>
          <w:sz w:val="24"/>
          <w:szCs w:val="24"/>
          <w:lang w:eastAsia="pl-PL"/>
        </w:rPr>
        <w:t>Zaliczka jest wypłacana, jeżeli beneficjent wnioskował o jej wypłatę we wniosku o przyznanie pomocy.</w:t>
      </w:r>
    </w:p>
    <w:p w:rsidR="00D16811" w:rsidRPr="00D16811" w:rsidRDefault="00D16811" w:rsidP="00D16811">
      <w:pPr>
        <w:numPr>
          <w:ilvl w:val="0"/>
          <w:numId w:val="1"/>
        </w:numPr>
        <w:spacing w:before="100" w:beforeAutospacing="1" w:after="100" w:afterAutospacing="1" w:line="360" w:lineRule="auto"/>
        <w:rPr>
          <w:rFonts w:ascii="Times New Roman" w:eastAsia="Times New Roman" w:hAnsi="Times New Roman" w:cs="Times New Roman"/>
          <w:sz w:val="24"/>
          <w:szCs w:val="24"/>
          <w:lang w:eastAsia="pl-PL"/>
        </w:rPr>
      </w:pPr>
      <w:r w:rsidRPr="00D16811">
        <w:rPr>
          <w:rFonts w:ascii="Times New Roman" w:eastAsia="Times New Roman" w:hAnsi="Times New Roman" w:cs="Times New Roman"/>
          <w:sz w:val="24"/>
          <w:szCs w:val="24"/>
          <w:lang w:eastAsia="pl-PL"/>
        </w:rPr>
        <w:t>Zaliczka jest wypłacana beneficjentowi jednorazowo lub w transzach, w terminie, wysokości i w sposób określony w umowie o przyznaniu pomocy.</w:t>
      </w:r>
    </w:p>
    <w:p w:rsidR="00D16811" w:rsidRPr="00D16811" w:rsidRDefault="00D16811" w:rsidP="00D16811">
      <w:pPr>
        <w:numPr>
          <w:ilvl w:val="0"/>
          <w:numId w:val="1"/>
        </w:numPr>
        <w:spacing w:before="100" w:beforeAutospacing="1" w:after="100" w:afterAutospacing="1" w:line="360" w:lineRule="auto"/>
        <w:rPr>
          <w:rFonts w:ascii="Times New Roman" w:eastAsia="Times New Roman" w:hAnsi="Times New Roman" w:cs="Times New Roman"/>
          <w:sz w:val="24"/>
          <w:szCs w:val="24"/>
          <w:lang w:eastAsia="pl-PL"/>
        </w:rPr>
      </w:pPr>
      <w:r w:rsidRPr="00D16811">
        <w:rPr>
          <w:rFonts w:ascii="Times New Roman" w:eastAsia="Times New Roman" w:hAnsi="Times New Roman" w:cs="Times New Roman"/>
          <w:sz w:val="24"/>
          <w:szCs w:val="24"/>
          <w:lang w:eastAsia="pl-PL"/>
        </w:rPr>
        <w:t>Zaliczka jest przekazywana na rachunek bankowy beneficjenta albo jego rachunek w spółdzielczej kasie oszczędnościowo-kredytowej wskazany w umowie o przyznaniu pomocy.</w:t>
      </w:r>
    </w:p>
    <w:p w:rsidR="00D16811" w:rsidRPr="00D16811" w:rsidRDefault="00D16811" w:rsidP="00D16811">
      <w:pPr>
        <w:numPr>
          <w:ilvl w:val="0"/>
          <w:numId w:val="1"/>
        </w:numPr>
        <w:spacing w:before="100" w:beforeAutospacing="1" w:after="100" w:afterAutospacing="1" w:line="360" w:lineRule="auto"/>
        <w:rPr>
          <w:rFonts w:ascii="Times New Roman" w:eastAsia="Times New Roman" w:hAnsi="Times New Roman" w:cs="Times New Roman"/>
          <w:sz w:val="24"/>
          <w:szCs w:val="24"/>
          <w:lang w:eastAsia="pl-PL"/>
        </w:rPr>
      </w:pPr>
      <w:r w:rsidRPr="00D16811">
        <w:rPr>
          <w:rFonts w:ascii="Times New Roman" w:eastAsia="Times New Roman" w:hAnsi="Times New Roman" w:cs="Times New Roman"/>
          <w:sz w:val="24"/>
          <w:szCs w:val="24"/>
          <w:lang w:eastAsia="pl-PL"/>
        </w:rPr>
        <w:t>W przypadku beneficjentów wspólnie ubiegających się o przyznanie pomocy zaliczka jest przekazywana:</w:t>
      </w:r>
      <w:r w:rsidRPr="00D16811">
        <w:rPr>
          <w:rFonts w:ascii="Times New Roman" w:eastAsia="Times New Roman" w:hAnsi="Times New Roman" w:cs="Times New Roman"/>
          <w:sz w:val="24"/>
          <w:szCs w:val="24"/>
          <w:lang w:eastAsia="pl-PL"/>
        </w:rPr>
        <w:br/>
        <w:t>1) osobno każdemu beneficjentowi na wskazany w umowie o przyznaniu pomocy jego rachunek bankowy albo na jego rachunek w spółdzielczej kasie oszczędnościowo-kredytowej, albo</w:t>
      </w:r>
      <w:r w:rsidRPr="00D16811">
        <w:rPr>
          <w:rFonts w:ascii="Times New Roman" w:eastAsia="Times New Roman" w:hAnsi="Times New Roman" w:cs="Times New Roman"/>
          <w:sz w:val="24"/>
          <w:szCs w:val="24"/>
          <w:lang w:eastAsia="pl-PL"/>
        </w:rPr>
        <w:br/>
        <w:t>2) na jeden rachunek bankowy albo na jeden rachunek w spółdzielczej kasie oszczędnościowo-kredytowej wskazany przez tych beneficjentów w umowie o przyznaniu pomocy.</w:t>
      </w:r>
    </w:p>
    <w:p w:rsidR="00D16811" w:rsidRPr="00D16811" w:rsidRDefault="00D16811" w:rsidP="00D16811">
      <w:pPr>
        <w:numPr>
          <w:ilvl w:val="0"/>
          <w:numId w:val="1"/>
        </w:numPr>
        <w:spacing w:before="100" w:beforeAutospacing="1" w:after="100" w:afterAutospacing="1" w:line="360" w:lineRule="auto"/>
        <w:rPr>
          <w:rFonts w:ascii="Times New Roman" w:eastAsia="Times New Roman" w:hAnsi="Times New Roman" w:cs="Times New Roman"/>
          <w:sz w:val="24"/>
          <w:szCs w:val="24"/>
          <w:lang w:eastAsia="pl-PL"/>
        </w:rPr>
      </w:pPr>
      <w:r w:rsidRPr="00D16811">
        <w:rPr>
          <w:rFonts w:ascii="Times New Roman" w:eastAsia="Times New Roman" w:hAnsi="Times New Roman" w:cs="Times New Roman"/>
          <w:sz w:val="24"/>
          <w:szCs w:val="24"/>
          <w:lang w:eastAsia="pl-PL"/>
        </w:rPr>
        <w:t xml:space="preserve">Rozliczenie zaliczki polega na pomniejszeniu kwoty przysługującej do wypłaty na podstawie wniosku lub wniosków o płatność o kwotę przekazanych środków albo na </w:t>
      </w:r>
      <w:r w:rsidRPr="00D16811">
        <w:rPr>
          <w:rFonts w:ascii="Times New Roman" w:eastAsia="Times New Roman" w:hAnsi="Times New Roman" w:cs="Times New Roman"/>
          <w:sz w:val="24"/>
          <w:szCs w:val="24"/>
          <w:lang w:eastAsia="pl-PL"/>
        </w:rPr>
        <w:lastRenderedPageBreak/>
        <w:t>zwrocie zaliczki przez beneficjenta, w terminach, w sposób i na warunkach określonych w umowie o przyznaniu pomocy.</w:t>
      </w:r>
    </w:p>
    <w:p w:rsidR="00D16811" w:rsidRPr="00D16811" w:rsidRDefault="00D16811" w:rsidP="00D16811">
      <w:pPr>
        <w:numPr>
          <w:ilvl w:val="0"/>
          <w:numId w:val="1"/>
        </w:numPr>
        <w:spacing w:before="100" w:beforeAutospacing="1" w:after="100" w:afterAutospacing="1" w:line="360" w:lineRule="auto"/>
        <w:rPr>
          <w:rFonts w:ascii="Times New Roman" w:eastAsia="Times New Roman" w:hAnsi="Times New Roman" w:cs="Times New Roman"/>
          <w:sz w:val="24"/>
          <w:szCs w:val="24"/>
          <w:lang w:eastAsia="pl-PL"/>
        </w:rPr>
      </w:pPr>
      <w:r w:rsidRPr="00D16811">
        <w:rPr>
          <w:rFonts w:ascii="Times New Roman" w:eastAsia="Times New Roman" w:hAnsi="Times New Roman" w:cs="Times New Roman"/>
          <w:sz w:val="24"/>
          <w:szCs w:val="24"/>
          <w:lang w:eastAsia="pl-PL"/>
        </w:rPr>
        <w:t>Warunkiem wypłaty zaliczki jest wniesienie przez beneficjenta zabezpieczenia zaliczki. Termin wniesienia zabezpieczenia określa umowa o przyznaniu pomocy.</w:t>
      </w:r>
    </w:p>
    <w:p w:rsidR="00D16811" w:rsidRDefault="00D16811" w:rsidP="00D16811">
      <w:pPr>
        <w:numPr>
          <w:ilvl w:val="0"/>
          <w:numId w:val="1"/>
        </w:numPr>
        <w:spacing w:before="100" w:beforeAutospacing="1" w:after="100" w:afterAutospacing="1" w:line="360" w:lineRule="auto"/>
        <w:rPr>
          <w:rFonts w:ascii="Times New Roman" w:eastAsia="Times New Roman" w:hAnsi="Times New Roman" w:cs="Times New Roman"/>
          <w:sz w:val="24"/>
          <w:szCs w:val="24"/>
          <w:lang w:eastAsia="pl-PL"/>
        </w:rPr>
      </w:pPr>
      <w:r w:rsidRPr="00D16811">
        <w:rPr>
          <w:rFonts w:ascii="Times New Roman" w:eastAsia="Times New Roman" w:hAnsi="Times New Roman" w:cs="Times New Roman"/>
          <w:sz w:val="24"/>
          <w:szCs w:val="24"/>
          <w:lang w:eastAsia="pl-PL"/>
        </w:rPr>
        <w:t>Zabezpieczenie zaliczki obejmuje całkowitą kwotę zaliczki wynikającą z umowy o przyznaniu pomocy i jest ustanawiane do dnia rozliczenia tej kwoty w formie weksla niezupełnego (in blanco) składanego wraz z deklaracją wekslową.</w:t>
      </w:r>
    </w:p>
    <w:p w:rsidR="00D16811" w:rsidRPr="00D16811" w:rsidRDefault="00D16811" w:rsidP="00D16811">
      <w:pPr>
        <w:spacing w:before="100" w:beforeAutospacing="1" w:after="100" w:afterAutospacing="1" w:line="360" w:lineRule="auto"/>
        <w:outlineLvl w:val="4"/>
        <w:rPr>
          <w:rFonts w:ascii="Times New Roman" w:eastAsia="Times New Roman" w:hAnsi="Times New Roman" w:cs="Times New Roman"/>
          <w:b/>
          <w:bCs/>
          <w:sz w:val="20"/>
          <w:szCs w:val="20"/>
          <w:lang w:eastAsia="pl-PL"/>
        </w:rPr>
      </w:pPr>
      <w:r w:rsidRPr="00D16811">
        <w:rPr>
          <w:rFonts w:ascii="Times New Roman" w:eastAsia="Times New Roman" w:hAnsi="Times New Roman" w:cs="Times New Roman"/>
          <w:b/>
          <w:bCs/>
          <w:sz w:val="20"/>
          <w:szCs w:val="20"/>
          <w:lang w:eastAsia="pl-PL"/>
        </w:rPr>
        <w:t>Wyprzedzające finansowanie</w:t>
      </w:r>
    </w:p>
    <w:p w:rsidR="00D16811" w:rsidRPr="00D16811" w:rsidRDefault="00D16811" w:rsidP="00D16811">
      <w:pPr>
        <w:numPr>
          <w:ilvl w:val="0"/>
          <w:numId w:val="2"/>
        </w:numPr>
        <w:spacing w:before="100" w:beforeAutospacing="1" w:after="100" w:afterAutospacing="1" w:line="360" w:lineRule="auto"/>
        <w:rPr>
          <w:rFonts w:ascii="Times New Roman" w:eastAsia="Times New Roman" w:hAnsi="Times New Roman" w:cs="Times New Roman"/>
          <w:sz w:val="24"/>
          <w:szCs w:val="24"/>
          <w:lang w:eastAsia="pl-PL"/>
        </w:rPr>
      </w:pPr>
      <w:r w:rsidRPr="00D16811">
        <w:rPr>
          <w:rFonts w:ascii="Times New Roman" w:eastAsia="Times New Roman" w:hAnsi="Times New Roman" w:cs="Times New Roman"/>
          <w:sz w:val="24"/>
          <w:szCs w:val="24"/>
          <w:lang w:eastAsia="pl-PL"/>
        </w:rPr>
        <w:t>Wysokość wyprzedzającego finansowania nie może przekraczać 44% kwoty przyznanej pomocy.</w:t>
      </w:r>
    </w:p>
    <w:p w:rsidR="00D16811" w:rsidRPr="00D16811" w:rsidRDefault="00D16811" w:rsidP="00D16811">
      <w:pPr>
        <w:numPr>
          <w:ilvl w:val="0"/>
          <w:numId w:val="2"/>
        </w:numPr>
        <w:spacing w:before="100" w:beforeAutospacing="1" w:after="100" w:afterAutospacing="1" w:line="360" w:lineRule="auto"/>
        <w:rPr>
          <w:rFonts w:ascii="Times New Roman" w:eastAsia="Times New Roman" w:hAnsi="Times New Roman" w:cs="Times New Roman"/>
          <w:sz w:val="24"/>
          <w:szCs w:val="24"/>
          <w:lang w:eastAsia="pl-PL"/>
        </w:rPr>
      </w:pPr>
      <w:r w:rsidRPr="00D16811">
        <w:rPr>
          <w:rFonts w:ascii="Times New Roman" w:eastAsia="Times New Roman" w:hAnsi="Times New Roman" w:cs="Times New Roman"/>
          <w:sz w:val="24"/>
          <w:szCs w:val="24"/>
          <w:lang w:eastAsia="pl-PL"/>
        </w:rPr>
        <w:t> Wyjątkiem są JST, które będą mogły otrzymać wyprzedzające finansowanie w wysokości różnicy pomiędzy 75% a intensywnością</w:t>
      </w:r>
      <w:r w:rsidRPr="00D16811">
        <w:rPr>
          <w:rFonts w:ascii="Times New Roman" w:eastAsia="Times New Roman" w:hAnsi="Times New Roman" w:cs="Times New Roman"/>
          <w:sz w:val="24"/>
          <w:szCs w:val="24"/>
          <w:lang w:eastAsia="pl-PL"/>
        </w:rPr>
        <w:br/>
        <w:t>pomocy ze środków EFRROW. Oznacza to, że wyprzedzające finansowanie dla JST będzie mogło wynosić maksymalnie 20%;</w:t>
      </w:r>
    </w:p>
    <w:p w:rsidR="00D16811" w:rsidRPr="00D16811" w:rsidRDefault="00D16811" w:rsidP="00D16811">
      <w:pPr>
        <w:numPr>
          <w:ilvl w:val="0"/>
          <w:numId w:val="2"/>
        </w:numPr>
        <w:spacing w:before="100" w:beforeAutospacing="1" w:after="100" w:afterAutospacing="1" w:line="360" w:lineRule="auto"/>
        <w:rPr>
          <w:rFonts w:ascii="Times New Roman" w:eastAsia="Times New Roman" w:hAnsi="Times New Roman" w:cs="Times New Roman"/>
          <w:sz w:val="24"/>
          <w:szCs w:val="24"/>
          <w:lang w:eastAsia="pl-PL"/>
        </w:rPr>
      </w:pPr>
      <w:r w:rsidRPr="00D16811">
        <w:rPr>
          <w:rFonts w:ascii="Times New Roman" w:eastAsia="Times New Roman" w:hAnsi="Times New Roman" w:cs="Times New Roman"/>
          <w:sz w:val="24"/>
          <w:szCs w:val="24"/>
          <w:lang w:eastAsia="pl-PL"/>
        </w:rPr>
        <w:t>Wyprzedzające finansowanie jest wypłacane, jeżeli beneficjent wnioskował o jego wypłatę we wniosku o przyznanie pomocy;</w:t>
      </w:r>
    </w:p>
    <w:p w:rsidR="00D16811" w:rsidRPr="00D16811" w:rsidRDefault="00D16811" w:rsidP="00D16811">
      <w:pPr>
        <w:numPr>
          <w:ilvl w:val="0"/>
          <w:numId w:val="2"/>
        </w:numPr>
        <w:spacing w:before="100" w:beforeAutospacing="1" w:after="100" w:afterAutospacing="1" w:line="360" w:lineRule="auto"/>
        <w:rPr>
          <w:rFonts w:ascii="Times New Roman" w:eastAsia="Times New Roman" w:hAnsi="Times New Roman" w:cs="Times New Roman"/>
          <w:sz w:val="24"/>
          <w:szCs w:val="24"/>
          <w:lang w:eastAsia="pl-PL"/>
        </w:rPr>
      </w:pPr>
      <w:r w:rsidRPr="00D16811">
        <w:rPr>
          <w:rFonts w:ascii="Times New Roman" w:eastAsia="Times New Roman" w:hAnsi="Times New Roman" w:cs="Times New Roman"/>
          <w:sz w:val="24"/>
          <w:szCs w:val="24"/>
          <w:lang w:eastAsia="pl-PL"/>
        </w:rPr>
        <w:t> Wyprzedzające finansowanie jest przekazywane beneficjentowi jednorazowo albo w transzach, w terminie i wysokości określonych w umowie o przyznaniu pomocy.</w:t>
      </w:r>
    </w:p>
    <w:p w:rsidR="00D16811" w:rsidRPr="00D16811" w:rsidRDefault="00D16811" w:rsidP="00D16811">
      <w:pPr>
        <w:numPr>
          <w:ilvl w:val="0"/>
          <w:numId w:val="2"/>
        </w:numPr>
        <w:spacing w:before="100" w:beforeAutospacing="1" w:after="100" w:afterAutospacing="1" w:line="360" w:lineRule="auto"/>
        <w:rPr>
          <w:rFonts w:ascii="Times New Roman" w:eastAsia="Times New Roman" w:hAnsi="Times New Roman" w:cs="Times New Roman"/>
          <w:sz w:val="24"/>
          <w:szCs w:val="24"/>
          <w:lang w:eastAsia="pl-PL"/>
        </w:rPr>
      </w:pPr>
      <w:r w:rsidRPr="00D16811">
        <w:rPr>
          <w:rFonts w:ascii="Times New Roman" w:eastAsia="Times New Roman" w:hAnsi="Times New Roman" w:cs="Times New Roman"/>
          <w:sz w:val="24"/>
          <w:szCs w:val="24"/>
          <w:lang w:eastAsia="pl-PL"/>
        </w:rPr>
        <w:t>Termin oraz kwota wypłacanego wyprzedzającego finansowania będzie zależna od liczby etapów realizacji operacji oraz wysokości pomocy w ramach poszczególnych etapów.</w:t>
      </w:r>
    </w:p>
    <w:p w:rsidR="00D16811" w:rsidRPr="00D16811" w:rsidRDefault="00D16811" w:rsidP="00D16811">
      <w:pPr>
        <w:numPr>
          <w:ilvl w:val="0"/>
          <w:numId w:val="2"/>
        </w:numPr>
        <w:spacing w:before="100" w:beforeAutospacing="1" w:after="100" w:afterAutospacing="1" w:line="360" w:lineRule="auto"/>
        <w:rPr>
          <w:rFonts w:ascii="Times New Roman" w:eastAsia="Times New Roman" w:hAnsi="Times New Roman" w:cs="Times New Roman"/>
          <w:sz w:val="24"/>
          <w:szCs w:val="24"/>
          <w:lang w:eastAsia="pl-PL"/>
        </w:rPr>
      </w:pPr>
      <w:r w:rsidRPr="00D16811">
        <w:rPr>
          <w:rFonts w:ascii="Times New Roman" w:eastAsia="Times New Roman" w:hAnsi="Times New Roman" w:cs="Times New Roman"/>
          <w:sz w:val="24"/>
          <w:szCs w:val="24"/>
          <w:lang w:eastAsia="pl-PL"/>
        </w:rPr>
        <w:t>W przypadku operacji jednoetapowych wypłata będzie mogła nastąpić po zawarciu umowy o przyznaniu pomocy, natomiast jej rozliczenie nastąpi wraz z wnioskiem o płatność.</w:t>
      </w:r>
    </w:p>
    <w:p w:rsidR="00D16811" w:rsidRPr="00D16811" w:rsidRDefault="00D16811" w:rsidP="00D16811">
      <w:pPr>
        <w:numPr>
          <w:ilvl w:val="0"/>
          <w:numId w:val="2"/>
        </w:numPr>
        <w:spacing w:before="100" w:beforeAutospacing="1" w:after="100" w:afterAutospacing="1" w:line="360" w:lineRule="auto"/>
        <w:rPr>
          <w:rFonts w:ascii="Times New Roman" w:eastAsia="Times New Roman" w:hAnsi="Times New Roman" w:cs="Times New Roman"/>
          <w:sz w:val="24"/>
          <w:szCs w:val="24"/>
          <w:lang w:eastAsia="pl-PL"/>
        </w:rPr>
      </w:pPr>
      <w:r w:rsidRPr="00D16811">
        <w:rPr>
          <w:rFonts w:ascii="Times New Roman" w:eastAsia="Times New Roman" w:hAnsi="Times New Roman" w:cs="Times New Roman"/>
          <w:sz w:val="24"/>
          <w:szCs w:val="24"/>
          <w:lang w:eastAsia="pl-PL"/>
        </w:rPr>
        <w:t>W przypadku operacji wieloetapowych, wypłata pierwszej transzy wyprzedzającego finansowania nastąpi po zawarciu umowy o przyznaniu pomocy i zostanie rozliczona w pierwszym wniosku o płatność pośrednią. Wypłata kolejnych transz nastąpi po rozliczeniu transz wcześniejszych.</w:t>
      </w:r>
    </w:p>
    <w:p w:rsidR="00D16811" w:rsidRPr="00D16811" w:rsidRDefault="00D16811" w:rsidP="00D16811">
      <w:pPr>
        <w:numPr>
          <w:ilvl w:val="0"/>
          <w:numId w:val="2"/>
        </w:numPr>
        <w:spacing w:before="100" w:beforeAutospacing="1" w:after="100" w:afterAutospacing="1" w:line="360" w:lineRule="auto"/>
        <w:rPr>
          <w:rFonts w:ascii="Times New Roman" w:eastAsia="Times New Roman" w:hAnsi="Times New Roman" w:cs="Times New Roman"/>
          <w:sz w:val="24"/>
          <w:szCs w:val="24"/>
          <w:lang w:eastAsia="pl-PL"/>
        </w:rPr>
      </w:pPr>
      <w:r w:rsidRPr="00D16811">
        <w:rPr>
          <w:rFonts w:ascii="Times New Roman" w:eastAsia="Times New Roman" w:hAnsi="Times New Roman" w:cs="Times New Roman"/>
          <w:sz w:val="24"/>
          <w:szCs w:val="24"/>
          <w:lang w:eastAsia="pl-PL"/>
        </w:rPr>
        <w:t>Wyprzedzające finansowanie jest przekazywane na wskazany w umowie o przyznaniu pomocy rachunek bankowy beneficjenta albo na jego rachunek w spółdzielczej kasie oszczędnościowo-kredytowej.</w:t>
      </w:r>
    </w:p>
    <w:p w:rsidR="00D16811" w:rsidRPr="00D16811" w:rsidRDefault="00D16811" w:rsidP="00D16811">
      <w:pPr>
        <w:numPr>
          <w:ilvl w:val="0"/>
          <w:numId w:val="2"/>
        </w:numPr>
        <w:spacing w:before="100" w:beforeAutospacing="1" w:after="100" w:afterAutospacing="1" w:line="360" w:lineRule="auto"/>
        <w:rPr>
          <w:rFonts w:ascii="Times New Roman" w:eastAsia="Times New Roman" w:hAnsi="Times New Roman" w:cs="Times New Roman"/>
          <w:sz w:val="24"/>
          <w:szCs w:val="24"/>
          <w:lang w:eastAsia="pl-PL"/>
        </w:rPr>
      </w:pPr>
      <w:r w:rsidRPr="00D16811">
        <w:rPr>
          <w:rFonts w:ascii="Times New Roman" w:eastAsia="Times New Roman" w:hAnsi="Times New Roman" w:cs="Times New Roman"/>
          <w:sz w:val="24"/>
          <w:szCs w:val="24"/>
          <w:lang w:eastAsia="pl-PL"/>
        </w:rPr>
        <w:lastRenderedPageBreak/>
        <w:t>W przypadku beneficjentów, którzy wspólnie ubiegali się o przyznanie pomocy, wyprzedzające finansowanie jest przekazywane:</w:t>
      </w:r>
      <w:r w:rsidRPr="00D16811">
        <w:rPr>
          <w:rFonts w:ascii="Times New Roman" w:eastAsia="Times New Roman" w:hAnsi="Times New Roman" w:cs="Times New Roman"/>
          <w:sz w:val="24"/>
          <w:szCs w:val="24"/>
          <w:lang w:eastAsia="pl-PL"/>
        </w:rPr>
        <w:br/>
        <w:t>1) osobno każdemu beneficjentowi na wskazany w umowie o przyznaniu pomocy jego rachunek bankowy albo na jego rachunek w spółdzielczej kasie oszczędnościowo-kredytowej, albo</w:t>
      </w:r>
      <w:r w:rsidRPr="00D16811">
        <w:rPr>
          <w:rFonts w:ascii="Times New Roman" w:eastAsia="Times New Roman" w:hAnsi="Times New Roman" w:cs="Times New Roman"/>
          <w:sz w:val="24"/>
          <w:szCs w:val="24"/>
          <w:lang w:eastAsia="pl-PL"/>
        </w:rPr>
        <w:br/>
        <w:t>2) na jeden rachunek bankowy albo na jeden rachunek w spółdzielczej kasie oszczędnościowo-kredytowej wskazany przez tych beneficjentów w umowie o przyznaniu pomocy.</w:t>
      </w:r>
    </w:p>
    <w:p w:rsidR="00D16811" w:rsidRPr="00D16811" w:rsidRDefault="00D16811" w:rsidP="00D16811">
      <w:pPr>
        <w:numPr>
          <w:ilvl w:val="0"/>
          <w:numId w:val="2"/>
        </w:numPr>
        <w:spacing w:before="100" w:beforeAutospacing="1" w:after="100" w:afterAutospacing="1" w:line="360" w:lineRule="auto"/>
        <w:rPr>
          <w:rFonts w:ascii="Times New Roman" w:eastAsia="Times New Roman" w:hAnsi="Times New Roman" w:cs="Times New Roman"/>
          <w:sz w:val="24"/>
          <w:szCs w:val="24"/>
          <w:lang w:eastAsia="pl-PL"/>
        </w:rPr>
      </w:pPr>
      <w:r w:rsidRPr="00D16811">
        <w:rPr>
          <w:rFonts w:ascii="Times New Roman" w:eastAsia="Times New Roman" w:hAnsi="Times New Roman" w:cs="Times New Roman"/>
          <w:sz w:val="24"/>
          <w:szCs w:val="24"/>
          <w:lang w:eastAsia="pl-PL"/>
        </w:rPr>
        <w:t>Rozliczenie przekazanego wyprzedzającego finansowania polega na pomniejszeniu kwoty pomocy przysługującej do wypłaty na podstawie wniosku o płatność lub wniosków o płatność o kwotę przekazanego wyprzedzającego finansowania</w:t>
      </w:r>
    </w:p>
    <w:p w:rsidR="00D16811" w:rsidRDefault="00D16811" w:rsidP="00D16811">
      <w:pPr>
        <w:pStyle w:val="Nagwek1"/>
      </w:pPr>
      <w:r>
        <w:t>Zasady kwalifikowalności i racjonalności kosztów w ramach PS WPR na lata 2023-2027</w:t>
      </w:r>
    </w:p>
    <w:p w:rsidR="00D16811" w:rsidRPr="00D16811" w:rsidRDefault="00D16811" w:rsidP="00D16811">
      <w:pPr>
        <w:pStyle w:val="NormalnyWeb"/>
        <w:spacing w:line="360" w:lineRule="auto"/>
      </w:pPr>
      <w:r w:rsidRPr="00D16811">
        <w:t>Plan Strategiczny Wspólnej Polityki Rolnej (PS WPR) definiuje zasady, na podstawie których beneficjenci mogą aplikować o dofinansowanie swoich projektów. Wydatki ponoszone przez wnioskodawców muszą być zgodne z określonymi kryteriami kwalifikowalności oraz zasadami racjonalności.</w:t>
      </w:r>
    </w:p>
    <w:p w:rsidR="00D16811" w:rsidRPr="00D16811" w:rsidRDefault="00D16811" w:rsidP="00D16811">
      <w:pPr>
        <w:pStyle w:val="Nagwek5"/>
        <w:spacing w:line="360" w:lineRule="auto"/>
        <w:rPr>
          <w:sz w:val="24"/>
          <w:szCs w:val="24"/>
        </w:rPr>
      </w:pPr>
      <w:r w:rsidRPr="00D16811">
        <w:rPr>
          <w:rStyle w:val="Pogrubienie"/>
          <w:b/>
          <w:bCs/>
          <w:sz w:val="24"/>
          <w:szCs w:val="24"/>
        </w:rPr>
        <w:t>Ogólne zasady kwalifikowalności</w:t>
      </w:r>
    </w:p>
    <w:p w:rsidR="00D16811" w:rsidRPr="00D16811" w:rsidRDefault="00D16811" w:rsidP="00D16811">
      <w:pPr>
        <w:pStyle w:val="NormalnyWeb"/>
        <w:spacing w:line="360" w:lineRule="auto"/>
      </w:pPr>
      <w:r w:rsidRPr="00D16811">
        <w:t>I. W zakresie inwestycji realizowanych w ramach art. 73 i art. 77 rozporządzenia 2021/2115 finansowanych w formie dotacji do kosztów kwalifikowalnych zalicza się w szczególności koszty:</w:t>
      </w:r>
      <w:r w:rsidRPr="00D16811">
        <w:br/>
        <w:t>1) transportu do miejsca realizacji operacji materiałów służących realizacji operacji oraz maszyn i urządzeń objętych operacją, a także koszty montażu;</w:t>
      </w:r>
      <w:r w:rsidRPr="00D16811">
        <w:br/>
        <w:t>2) rozbiórki i utylizacji materiałów szkodliwych pochodzących z rozbiórki pod warunkiem, że rozbiórka jest niezbędna w celu realizacji operacji.</w:t>
      </w:r>
    </w:p>
    <w:p w:rsidR="00D16811" w:rsidRPr="00D16811" w:rsidRDefault="00D16811" w:rsidP="00D16811">
      <w:pPr>
        <w:pStyle w:val="NormalnyWeb"/>
        <w:spacing w:line="360" w:lineRule="auto"/>
      </w:pPr>
      <w:r w:rsidRPr="00D16811">
        <w:t>II. Do kosztów ogólnych zalicza się w szczególności koszty:</w:t>
      </w:r>
      <w:r w:rsidRPr="00D16811">
        <w:br/>
        <w:t>1) przygotowania dokumentacji technicznej operacji, w tym:</w:t>
      </w:r>
      <w:r w:rsidRPr="00D16811">
        <w:br/>
        <w:t>a) kosztorysów inwestorskich,</w:t>
      </w:r>
      <w:r w:rsidRPr="00D16811">
        <w:br/>
      </w:r>
      <w:r w:rsidRPr="00D16811">
        <w:lastRenderedPageBreak/>
        <w:t>b) projektów budowlanych,</w:t>
      </w:r>
      <w:r w:rsidRPr="00D16811">
        <w:br/>
        <w:t>c) wypisów i wyrysów z ewidencji gruntów i budynków,</w:t>
      </w:r>
      <w:r w:rsidRPr="00D16811">
        <w:br/>
        <w:t>d) projektu OZE (odnawialne źródła energii) i termomodernizacji,</w:t>
      </w:r>
      <w:r w:rsidRPr="00D16811">
        <w:br/>
        <w:t>e) audytu energetycznego;</w:t>
      </w:r>
      <w:r w:rsidRPr="00D16811">
        <w:br/>
        <w:t>2) sprawowania nadzoru inwestorskiego lub autorskiego;</w:t>
      </w:r>
      <w:r w:rsidRPr="00D16811">
        <w:br/>
        <w:t>3) związane z kierowaniem robotami budowlanymi.</w:t>
      </w:r>
    </w:p>
    <w:p w:rsidR="00D16811" w:rsidRPr="00D16811" w:rsidRDefault="00D16811" w:rsidP="00D16811">
      <w:pPr>
        <w:pStyle w:val="NormalnyWeb"/>
        <w:spacing w:line="360" w:lineRule="auto"/>
      </w:pPr>
      <w:r w:rsidRPr="00D16811">
        <w:t>III.W przypadku gdy pomoc dotyczy zakupu nowych pojazdów, nowym pojazdem, zgodnie z przepisami prawa o ruchu drogowym, jest pojazd fabrycznie nowy, który nie był zarejestrowany.</w:t>
      </w:r>
    </w:p>
    <w:p w:rsidR="00D16811" w:rsidRPr="00D16811" w:rsidRDefault="00D16811" w:rsidP="00D16811">
      <w:pPr>
        <w:pStyle w:val="NormalnyWeb"/>
        <w:spacing w:line="360" w:lineRule="auto"/>
      </w:pPr>
      <w:r w:rsidRPr="00D16811">
        <w:t>IV. Nie są wspierane operacje/inwestycje, które zostały fizycznie ukończone lub w pełni zrealizowane przed dniem złożenia wniosku o przyznanie pomocy, o ile wytyczne szczegółowe nie stanowią inaczej.</w:t>
      </w:r>
    </w:p>
    <w:p w:rsidR="00D16811" w:rsidRPr="00D16811" w:rsidRDefault="00D16811" w:rsidP="00D16811">
      <w:pPr>
        <w:pStyle w:val="NormalnyWeb"/>
        <w:spacing w:line="360" w:lineRule="auto"/>
      </w:pPr>
      <w:r w:rsidRPr="00D16811">
        <w:t>V. Nie są wspierane operacje/inwestycje, które mają charakter odtworzeniowy.</w:t>
      </w:r>
    </w:p>
    <w:p w:rsidR="00D16811" w:rsidRPr="00D16811" w:rsidRDefault="00D16811" w:rsidP="00D16811">
      <w:pPr>
        <w:pStyle w:val="Nagwek5"/>
        <w:spacing w:line="360" w:lineRule="auto"/>
        <w:rPr>
          <w:sz w:val="24"/>
          <w:szCs w:val="24"/>
        </w:rPr>
      </w:pPr>
      <w:r w:rsidRPr="00D16811">
        <w:rPr>
          <w:rStyle w:val="Pogrubienie"/>
          <w:b/>
          <w:bCs/>
          <w:sz w:val="24"/>
          <w:szCs w:val="24"/>
        </w:rPr>
        <w:t>Koszty niekwalifikowalne</w:t>
      </w:r>
    </w:p>
    <w:p w:rsidR="00D16811" w:rsidRPr="00D16811" w:rsidRDefault="00D16811" w:rsidP="00D16811">
      <w:pPr>
        <w:pStyle w:val="NormalnyWeb"/>
        <w:spacing w:line="360" w:lineRule="auto"/>
      </w:pPr>
      <w:r w:rsidRPr="00D16811">
        <w:t>W zakresie inwestycji realizowanych w ramach art. 73 i art. 77 rozporządzenia 2021/2115,  za inwestycje niekwalifikujące się do przyznania pomocy uznaje się w szczególności:</w:t>
      </w:r>
      <w:r w:rsidRPr="00D16811">
        <w:br/>
        <w:t>1. koszty poniesione przed dniem, w którym został złożony wniosek o przyznanie pomocy, a w przypadku kosztów ogólnych – przed dniem 1 stycznia 2023 r.;</w:t>
      </w:r>
      <w:r w:rsidRPr="00D16811">
        <w:br/>
        <w:t>2. koszty ogólne związane z operacją w części przekraczającej 10% pozostałych kosztów kwalifikowalnych;</w:t>
      </w:r>
      <w:r w:rsidRPr="00D16811">
        <w:br/>
        <w:t>3. koszty remontu budynków lub budowli, jeśli nie jest on połączony z ich modernizacją;</w:t>
      </w:r>
      <w:r w:rsidRPr="00D16811">
        <w:br/>
        <w:t>4. koszty zakupu nieruchomości;</w:t>
      </w:r>
      <w:r w:rsidRPr="00D16811">
        <w:br/>
        <w:t>5. koszty zakładania sadów i plantacji wieloletnich oraz wymiany w nich nasadzeń;</w:t>
      </w:r>
      <w:r w:rsidRPr="00D16811">
        <w:br/>
        <w:t>6.  koszty leasingu zwrotnego oraz dodatkowe koszty związane z umową leasingu, takie jak marża finansującego i ubezpieczenie;</w:t>
      </w:r>
      <w:r w:rsidRPr="00D16811">
        <w:br/>
        <w:t>7. podatek od wartości dodanej (VAT):</w:t>
      </w:r>
      <w:r w:rsidRPr="00D16811">
        <w:br/>
        <w:t>– w przypadku wnioskodawcy będącego rolnikiem w rozumieniu art. 3 pkt 1 rozporządzenia 2021/2115 uznaje się, że VAT jest kosztem niekwalifikowalnym,</w:t>
      </w:r>
      <w:r w:rsidRPr="00D16811">
        <w:br/>
        <w:t>– w przypadku wnioskodawcy będącego osobą fizyczną, osobą prawną (w tym również jednostką sektora finansów publicznych) lub jednostką</w:t>
      </w:r>
      <w:r w:rsidRPr="00D16811">
        <w:br/>
      </w:r>
      <w:r w:rsidRPr="00D16811">
        <w:lastRenderedPageBreak/>
        <w:t>organizacyjną nieposiadającą osobowości prawnej niebędącego rolnikiem – VAT jest kosztem niekwalifikowalnym, z wyjątkiem przypadków</w:t>
      </w:r>
      <w:r w:rsidRPr="00D16811">
        <w:br/>
        <w:t>gdy nie podlega on odzyskaniu na podstawie krajowych przepisów o podatku VAT;</w:t>
      </w:r>
      <w:r w:rsidRPr="00D16811">
        <w:br/>
        <w:t>8. koszty zakupu używanych maszyn, urządzeń, wyposażenia, w tym również ich instalacji, z wyłączeniem eksponatów w I.13.1 w ramach operacji dotyczących dziedzictwa kulturowego;</w:t>
      </w:r>
      <w:r w:rsidRPr="00D16811">
        <w:br/>
        <w:t>9. koszty zakupu zwierząt, nasion i ich siewu oraz roślin jednorocznych i ich sadzenia;</w:t>
      </w:r>
      <w:r w:rsidRPr="00D16811">
        <w:br/>
        <w:t>10. koszty zakupu samochodów osobowych;</w:t>
      </w:r>
      <w:r w:rsidRPr="00D16811">
        <w:br/>
        <w:t>11. koszty rozbudowy infrastruktury sieci 5G i sieci światłowodowej;</w:t>
      </w:r>
      <w:r w:rsidRPr="00D16811">
        <w:br/>
        <w:t>12. koszty inwestycji w nawodnienia w gospodarstwie rolnym oraz związane z tym koszty budowy ujęć wody;</w:t>
      </w:r>
      <w:r w:rsidRPr="00D16811">
        <w:br/>
        <w:t>13. koszty zakupu kotłów do spalania słomy;</w:t>
      </w:r>
      <w:r w:rsidRPr="00D16811">
        <w:br/>
        <w:t>14. koszty inwestycji mających na celu dostosowanie do norm lub wymogów unijnych (z wyjątkiem inwestycji wspieranych na zasadach określonych</w:t>
      </w:r>
      <w:r w:rsidRPr="00D16811">
        <w:br/>
        <w:t>w art. 73 ust. 5 rozporządzenia 2021/2115);</w:t>
      </w:r>
      <w:r w:rsidRPr="00D16811">
        <w:br/>
        <w:t>15. koszty sporządzenia wniosku o przyznanie pomocy i wniosku o płatność.</w:t>
      </w:r>
    </w:p>
    <w:p w:rsidR="00D16811" w:rsidRPr="00D16811" w:rsidRDefault="00D16811" w:rsidP="00D16811">
      <w:pPr>
        <w:pStyle w:val="NormalnyWeb"/>
        <w:spacing w:line="360" w:lineRule="auto"/>
      </w:pPr>
      <w:r w:rsidRPr="00D16811">
        <w:rPr>
          <w:rStyle w:val="Pogrubienie"/>
        </w:rPr>
        <w:t>Podatek VAT – dodatkowe wyjaśnienia</w:t>
      </w:r>
    </w:p>
    <w:p w:rsidR="00D16811" w:rsidRPr="00D16811" w:rsidRDefault="00D16811" w:rsidP="00D16811">
      <w:pPr>
        <w:pStyle w:val="NormalnyWeb"/>
        <w:spacing w:line="360" w:lineRule="auto"/>
      </w:pPr>
      <w:r w:rsidRPr="00D16811">
        <w:t>Podatek VAT może być kwalifikowalny, gdy brak jest prawnej możliwości odzyskania podatku VAT zgodnie z przepisami prawa krajowego. Oznacza to,</w:t>
      </w:r>
      <w:r w:rsidRPr="00D16811">
        <w:br/>
        <w:t>iż zapłacony podatek VAT może być uznany za koszt kwalifikowalny wyłącznie wówczas, gdy beneficjentowi zgodnie z obowiązującym prawodawstwem krajowym nie przysługuje prawo do obniżenia kwoty podatku należnego o kwotę podatku naliczonego lub do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rsidR="00D16811" w:rsidRPr="00D16811" w:rsidRDefault="00D16811" w:rsidP="00D16811">
      <w:pPr>
        <w:pStyle w:val="NormalnyWeb"/>
        <w:spacing w:line="360" w:lineRule="auto"/>
      </w:pPr>
      <w:r w:rsidRPr="00D16811">
        <w:t>Sprawdzenie statusu podatnika VAT powinno być przeprowadzone podczas weryfikacji wniosku o płatność w oparciu o udostępnioną przez Ministerstwo Finansów bazę podatników VAT. Obowiązek dostarczenia interpretacji indywidualnej dotyczy tylko podmiotów, które będą występować w ww. bazie, a do kosztów kwalifikowalnych operacji włączyły podatek VAT. Ww. interpretacja wiąże się z uzyskaniem informacji, czy podmiot ma możliwość odliczenia podatku VAT w związku z działalnością, na którą otrzyma wsparcie.</w:t>
      </w:r>
    </w:p>
    <w:p w:rsidR="00D16811" w:rsidRPr="00D16811" w:rsidRDefault="00D16811" w:rsidP="00D245FB">
      <w:pPr>
        <w:pStyle w:val="NormalnyWeb"/>
        <w:spacing w:line="360" w:lineRule="auto"/>
      </w:pPr>
      <w:r w:rsidRPr="00D16811">
        <w:lastRenderedPageBreak/>
        <w:t> </w:t>
      </w:r>
      <w:r w:rsidRPr="00D16811">
        <w:rPr>
          <w:rStyle w:val="Pogrubienie"/>
        </w:rPr>
        <w:t>Racjonalność kosztów</w:t>
      </w:r>
    </w:p>
    <w:p w:rsidR="00D16811" w:rsidRPr="00D16811" w:rsidRDefault="00D16811" w:rsidP="00D16811">
      <w:pPr>
        <w:pStyle w:val="NormalnyWeb"/>
        <w:spacing w:line="360" w:lineRule="auto"/>
      </w:pPr>
      <w:r w:rsidRPr="00D16811">
        <w:t>Wsparcie udzielane jest na operacje, które są uzasadnione pod względem racjonalności kosztów kwalifikowalnych oraz planowanych inwestycji. Realizacja operacji musi być wykonalna, uzasadniona i odpowiednio dostosowana do celu, zakresu oraz przewidywanych rezultatów. Ocena racjonalności powinna być przeprowadzona w sposób adekwatny do charakteru i specyfiki interwencji, uwzględniając w pełni lub częściowo poniższe aspekty:</w:t>
      </w:r>
    </w:p>
    <w:p w:rsidR="00D16811" w:rsidRPr="00D16811" w:rsidRDefault="00D16811" w:rsidP="00D16811">
      <w:pPr>
        <w:pStyle w:val="NormalnyWeb"/>
        <w:spacing w:line="360" w:lineRule="auto"/>
      </w:pPr>
      <w:r w:rsidRPr="00D16811">
        <w:t>1. uzasadnienie ekonomiczne kosztów/inwestycji, czyli ocenę, w jaki sposób zakres rzeczowy wskazany we wniosku o przyznanie pomocy lub wniosku o płatność przyczyni się do osiągnięcia celu operacji lub wzrostu efektywności ekonomicznej przedsiębiorstwa/gospodarstwa rolnego wnioskodawcy (wzrost przychodów, usprawnienie procesów produkcji, ograniczenie kosztów);</w:t>
      </w:r>
      <w:r w:rsidRPr="00D16811">
        <w:br/>
        <w:t>2. racjonalność technologiczną – sprawdzenie, czy wspierane inwestycje w szczególności:</w:t>
      </w:r>
      <w:r w:rsidRPr="00D16811">
        <w:br/>
        <w:t>a) nie mają charakteru inwestycji odtworzeniowej,</w:t>
      </w:r>
      <w:r w:rsidRPr="00D16811">
        <w:br/>
        <w:t>b) są uzasadnione ze względu na komplementarność technologiczną,</w:t>
      </w:r>
      <w:r w:rsidRPr="00D16811">
        <w:br/>
        <w:t>c) są uzasadnione ze względu na profil produkcji,</w:t>
      </w:r>
      <w:r w:rsidRPr="00D16811">
        <w:br/>
        <w:t>d) są uzasadnione ze względu na skalę produkcji, wykazują możliwość zbytu produkcji w przypadku wzrostu mocy produkcyjnych;</w:t>
      </w:r>
      <w:r w:rsidRPr="00D16811">
        <w:br/>
        <w:t>3. racjonalność kosztową – sprawdzenie czy planowane koszty/szacunkowe koszty planowanych inwestycji objęte zakresem rzeczowym operacji są rynkowe lub czy zostały oszacowane na podstawie cen rynkowych.</w:t>
      </w:r>
    </w:p>
    <w:p w:rsidR="0034516D" w:rsidRDefault="0034516D" w:rsidP="0034516D">
      <w:pPr>
        <w:pStyle w:val="Nagwek1"/>
      </w:pPr>
      <w:r>
        <w:t>Obowiązki informacyjne beneficjentów</w:t>
      </w:r>
    </w:p>
    <w:p w:rsidR="0034516D" w:rsidRDefault="0034516D" w:rsidP="00E623ED">
      <w:pPr>
        <w:pStyle w:val="NormalnyWeb"/>
        <w:spacing w:line="360" w:lineRule="auto"/>
      </w:pPr>
      <w:r>
        <w:t>Zgodnie z Rozporządzeniem Wykonawczym Komisji (UE) 2022/129 z dnia 21 grudnia 2021 r. beneficjenci interwencji finansowanych z EFRROW potwierdzają otrzymanie wsparcia z PS WPR 2023-2027 poprzez odpowiednie oznaczenie miejsca realizacji: tablice,</w:t>
      </w:r>
      <w:r w:rsidR="00E623ED">
        <w:t xml:space="preserve"> plakaty, informacje w internecie</w:t>
      </w:r>
      <w:r>
        <w:t>.</w:t>
      </w:r>
    </w:p>
    <w:p w:rsidR="0034516D" w:rsidRDefault="0034516D" w:rsidP="00E623ED">
      <w:pPr>
        <w:pStyle w:val="NormalnyWeb"/>
        <w:spacing w:line="360" w:lineRule="auto"/>
      </w:pPr>
      <w:r>
        <w:t>Księga Wizualizacji logo PS WPR 2023-2027 jest opracowaniem zbierającym wszystkie obowiązki beneficjentów wraz z graficznymi przykładami.</w:t>
      </w:r>
    </w:p>
    <w:p w:rsidR="0034516D" w:rsidRDefault="0034516D" w:rsidP="00E623ED">
      <w:pPr>
        <w:pStyle w:val="NormalnyWeb"/>
        <w:spacing w:line="360" w:lineRule="auto"/>
      </w:pPr>
      <w:r>
        <w:t>Zatwierdzona Księga dostępna jest </w:t>
      </w:r>
      <w:hyperlink r:id="rId5" w:history="1">
        <w:r>
          <w:rPr>
            <w:rStyle w:val="Pogrubienie"/>
          </w:rPr>
          <w:t>na stronie internetowej Ministerstwa Rolnictwa i Rozwoju Wsi.</w:t>
        </w:r>
      </w:hyperlink>
    </w:p>
    <w:p w:rsidR="00E623ED" w:rsidRPr="00E623ED" w:rsidRDefault="00E623ED" w:rsidP="00E623ED">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E623ED">
        <w:rPr>
          <w:rFonts w:ascii="Times New Roman" w:eastAsia="Times New Roman" w:hAnsi="Times New Roman" w:cs="Times New Roman"/>
          <w:b/>
          <w:bCs/>
          <w:kern w:val="36"/>
          <w:sz w:val="48"/>
          <w:szCs w:val="48"/>
          <w:lang w:eastAsia="pl-PL"/>
        </w:rPr>
        <w:lastRenderedPageBreak/>
        <w:t>Rejestracja w systemie PUE ARiMR- niezbędny krok do złożenia Wniosku o przyznanie pomocy</w:t>
      </w:r>
    </w:p>
    <w:p w:rsidR="00E623ED" w:rsidRPr="00E623ED" w:rsidRDefault="00E623ED" w:rsidP="00E623ED">
      <w:pPr>
        <w:spacing w:before="100" w:beforeAutospacing="1" w:after="100" w:afterAutospacing="1" w:line="360" w:lineRule="auto"/>
        <w:rPr>
          <w:rFonts w:ascii="Times New Roman" w:eastAsia="Times New Roman" w:hAnsi="Times New Roman" w:cs="Times New Roman"/>
          <w:sz w:val="24"/>
          <w:szCs w:val="24"/>
          <w:lang w:eastAsia="pl-PL"/>
        </w:rPr>
      </w:pPr>
      <w:r w:rsidRPr="00E623ED">
        <w:rPr>
          <w:rFonts w:ascii="Times New Roman" w:eastAsia="Times New Roman" w:hAnsi="Times New Roman" w:cs="Times New Roman"/>
          <w:sz w:val="24"/>
          <w:szCs w:val="24"/>
          <w:lang w:eastAsia="pl-PL"/>
        </w:rPr>
        <w:t>Po uzyskaniu numeru producenta rolnego czas na rejestrację konta na Platformie Usług Elektronicznych. Jest to niezbędny krok, który umożliwi Ci składanie wniosków za pomocą generatora.</w:t>
      </w:r>
    </w:p>
    <w:p w:rsidR="00E623ED" w:rsidRPr="00E623ED" w:rsidRDefault="00E623ED" w:rsidP="00E623ED">
      <w:pPr>
        <w:spacing w:before="100" w:beforeAutospacing="1" w:after="100" w:afterAutospacing="1" w:line="360" w:lineRule="auto"/>
        <w:rPr>
          <w:rFonts w:ascii="Times New Roman" w:eastAsia="Times New Roman" w:hAnsi="Times New Roman" w:cs="Times New Roman"/>
          <w:sz w:val="24"/>
          <w:szCs w:val="24"/>
          <w:lang w:eastAsia="pl-PL"/>
        </w:rPr>
      </w:pPr>
      <w:r w:rsidRPr="00E623ED">
        <w:rPr>
          <w:rFonts w:ascii="Times New Roman" w:eastAsia="Times New Roman" w:hAnsi="Times New Roman" w:cs="Times New Roman"/>
          <w:sz w:val="24"/>
          <w:szCs w:val="24"/>
          <w:lang w:eastAsia="pl-PL"/>
        </w:rPr>
        <w:t>Niniejsza instrukcja dotyczy naborów konkursowych, w których beneficjentem mogą być:</w:t>
      </w:r>
    </w:p>
    <w:p w:rsidR="00E623ED" w:rsidRPr="00E623ED" w:rsidRDefault="00E623ED" w:rsidP="00E623ED">
      <w:pPr>
        <w:spacing w:before="100" w:beforeAutospacing="1" w:after="100" w:afterAutospacing="1" w:line="360" w:lineRule="auto"/>
        <w:rPr>
          <w:rFonts w:ascii="Times New Roman" w:eastAsia="Times New Roman" w:hAnsi="Times New Roman" w:cs="Times New Roman"/>
          <w:sz w:val="24"/>
          <w:szCs w:val="24"/>
          <w:lang w:eastAsia="pl-PL"/>
        </w:rPr>
      </w:pPr>
      <w:r w:rsidRPr="00E623ED">
        <w:rPr>
          <w:rFonts w:ascii="Times New Roman" w:eastAsia="Times New Roman" w:hAnsi="Times New Roman" w:cs="Times New Roman"/>
          <w:sz w:val="24"/>
          <w:szCs w:val="24"/>
          <w:lang w:eastAsia="pl-PL"/>
        </w:rPr>
        <w:t>– Jednostki sektora finansów publicznych,</w:t>
      </w:r>
    </w:p>
    <w:p w:rsidR="00E623ED" w:rsidRPr="00E623ED" w:rsidRDefault="00E623ED" w:rsidP="00E623ED">
      <w:pPr>
        <w:spacing w:before="100" w:beforeAutospacing="1" w:after="100" w:afterAutospacing="1" w:line="360" w:lineRule="auto"/>
        <w:rPr>
          <w:rFonts w:ascii="Times New Roman" w:eastAsia="Times New Roman" w:hAnsi="Times New Roman" w:cs="Times New Roman"/>
          <w:sz w:val="24"/>
          <w:szCs w:val="24"/>
          <w:lang w:eastAsia="pl-PL"/>
        </w:rPr>
      </w:pPr>
      <w:r w:rsidRPr="00E623ED">
        <w:rPr>
          <w:rFonts w:ascii="Times New Roman" w:eastAsia="Times New Roman" w:hAnsi="Times New Roman" w:cs="Times New Roman"/>
          <w:sz w:val="24"/>
          <w:szCs w:val="24"/>
          <w:lang w:eastAsia="pl-PL"/>
        </w:rPr>
        <w:t>– Osoby Fizyczne,</w:t>
      </w:r>
    </w:p>
    <w:p w:rsidR="00E623ED" w:rsidRPr="00E623ED" w:rsidRDefault="00E623ED" w:rsidP="00E623ED">
      <w:pPr>
        <w:spacing w:before="100" w:beforeAutospacing="1" w:after="100" w:afterAutospacing="1" w:line="360" w:lineRule="auto"/>
        <w:rPr>
          <w:rFonts w:ascii="Times New Roman" w:eastAsia="Times New Roman" w:hAnsi="Times New Roman" w:cs="Times New Roman"/>
          <w:sz w:val="24"/>
          <w:szCs w:val="24"/>
          <w:lang w:eastAsia="pl-PL"/>
        </w:rPr>
      </w:pPr>
      <w:r w:rsidRPr="00E623ED">
        <w:rPr>
          <w:rFonts w:ascii="Times New Roman" w:eastAsia="Times New Roman" w:hAnsi="Times New Roman" w:cs="Times New Roman"/>
          <w:sz w:val="24"/>
          <w:szCs w:val="24"/>
          <w:lang w:eastAsia="pl-PL"/>
        </w:rPr>
        <w:t>– przedsiębiorcy,</w:t>
      </w:r>
    </w:p>
    <w:p w:rsidR="00E623ED" w:rsidRPr="00E623ED" w:rsidRDefault="00E623ED" w:rsidP="00E623ED">
      <w:pPr>
        <w:spacing w:before="100" w:beforeAutospacing="1" w:after="100" w:afterAutospacing="1" w:line="360" w:lineRule="auto"/>
        <w:rPr>
          <w:rFonts w:ascii="Times New Roman" w:eastAsia="Times New Roman" w:hAnsi="Times New Roman" w:cs="Times New Roman"/>
          <w:sz w:val="24"/>
          <w:szCs w:val="24"/>
          <w:lang w:eastAsia="pl-PL"/>
        </w:rPr>
      </w:pPr>
      <w:r w:rsidRPr="00E623ED">
        <w:rPr>
          <w:rFonts w:ascii="Times New Roman" w:eastAsia="Times New Roman" w:hAnsi="Times New Roman" w:cs="Times New Roman"/>
          <w:sz w:val="24"/>
          <w:szCs w:val="24"/>
          <w:lang w:eastAsia="pl-PL"/>
        </w:rPr>
        <w:t>– podmioty prawne np. organizacje pozarządowe, KGW</w:t>
      </w:r>
    </w:p>
    <w:p w:rsidR="00E623ED" w:rsidRPr="00E623ED" w:rsidRDefault="00E623ED" w:rsidP="00E623ED">
      <w:pPr>
        <w:spacing w:before="100" w:beforeAutospacing="1" w:after="100" w:afterAutospacing="1" w:line="360" w:lineRule="auto"/>
        <w:rPr>
          <w:rFonts w:ascii="Times New Roman" w:eastAsia="Times New Roman" w:hAnsi="Times New Roman" w:cs="Times New Roman"/>
          <w:sz w:val="24"/>
          <w:szCs w:val="24"/>
          <w:lang w:eastAsia="pl-PL"/>
        </w:rPr>
      </w:pPr>
      <w:r w:rsidRPr="00E623ED">
        <w:rPr>
          <w:rFonts w:ascii="Times New Roman" w:eastAsia="Times New Roman" w:hAnsi="Times New Roman" w:cs="Times New Roman"/>
          <w:sz w:val="24"/>
          <w:szCs w:val="24"/>
          <w:lang w:eastAsia="pl-PL"/>
        </w:rPr>
        <w:t> </w:t>
      </w:r>
      <w:r w:rsidRPr="00E623ED">
        <w:rPr>
          <w:rFonts w:ascii="Times New Roman" w:eastAsia="Times New Roman" w:hAnsi="Times New Roman" w:cs="Times New Roman"/>
          <w:b/>
          <w:bCs/>
          <w:sz w:val="24"/>
          <w:szCs w:val="24"/>
          <w:lang w:eastAsia="pl-PL"/>
        </w:rPr>
        <w:t>Uwaga: W przypadku projektów grantowych nie ma konieczności zakładania konta na platformie usług elektronicznych ARiMR. Wnioski o przyznanie pomocy na projekty grantowe będą składane za pomocą aplikacji OMIKRON. Linki do generatora wniosków będą udostępniane razem z ogłoszeniem o naborze grantobiorców.</w:t>
      </w:r>
    </w:p>
    <w:p w:rsidR="00E623ED" w:rsidRPr="00E623ED" w:rsidRDefault="00E623ED" w:rsidP="00D245FB">
      <w:pPr>
        <w:spacing w:before="100" w:beforeAutospacing="1" w:after="100" w:afterAutospacing="1" w:line="360" w:lineRule="auto"/>
        <w:rPr>
          <w:rFonts w:ascii="Times New Roman" w:eastAsia="Times New Roman" w:hAnsi="Times New Roman" w:cs="Times New Roman"/>
          <w:b/>
          <w:bCs/>
          <w:sz w:val="20"/>
          <w:szCs w:val="20"/>
          <w:lang w:eastAsia="pl-PL"/>
        </w:rPr>
      </w:pPr>
      <w:r w:rsidRPr="00E623ED">
        <w:rPr>
          <w:rFonts w:ascii="Times New Roman" w:eastAsia="Times New Roman" w:hAnsi="Times New Roman" w:cs="Times New Roman"/>
          <w:sz w:val="24"/>
          <w:szCs w:val="24"/>
          <w:lang w:eastAsia="pl-PL"/>
        </w:rPr>
        <w:t> </w:t>
      </w:r>
      <w:r w:rsidRPr="00E623ED">
        <w:rPr>
          <w:rFonts w:ascii="Times New Roman" w:eastAsia="Times New Roman" w:hAnsi="Times New Roman" w:cs="Times New Roman"/>
          <w:b/>
          <w:bCs/>
          <w:sz w:val="20"/>
          <w:szCs w:val="20"/>
          <w:lang w:eastAsia="pl-PL"/>
        </w:rPr>
        <w:t>Informacje o aplikacji</w:t>
      </w:r>
    </w:p>
    <w:p w:rsidR="00E623ED" w:rsidRPr="00E623ED" w:rsidRDefault="00E623ED" w:rsidP="00E623ED">
      <w:pPr>
        <w:spacing w:before="100" w:beforeAutospacing="1" w:after="100" w:afterAutospacing="1" w:line="360" w:lineRule="auto"/>
        <w:rPr>
          <w:rFonts w:ascii="Times New Roman" w:eastAsia="Times New Roman" w:hAnsi="Times New Roman" w:cs="Times New Roman"/>
          <w:sz w:val="24"/>
          <w:szCs w:val="24"/>
          <w:lang w:eastAsia="pl-PL"/>
        </w:rPr>
      </w:pPr>
      <w:r w:rsidRPr="00E623ED">
        <w:rPr>
          <w:rFonts w:ascii="Times New Roman" w:eastAsia="Times New Roman" w:hAnsi="Times New Roman" w:cs="Times New Roman"/>
          <w:sz w:val="24"/>
          <w:szCs w:val="24"/>
          <w:lang w:eastAsia="pl-PL"/>
        </w:rPr>
        <w:t>Aplikacja PUE służy do udostępniania drogą elektroniczną usług świadczonych przez Agencję Restrukturyzacji i Modernizacji Rolnictwa. Funkcjonalności portalu dostępne są dla wszystkich osób, które posiadających numer w Ewidencji Producentów.</w:t>
      </w:r>
    </w:p>
    <w:p w:rsidR="00E623ED" w:rsidRPr="00E623ED" w:rsidRDefault="00E623ED" w:rsidP="00E623ED">
      <w:pPr>
        <w:spacing w:before="100" w:beforeAutospacing="1" w:after="100" w:afterAutospacing="1" w:line="360" w:lineRule="auto"/>
        <w:rPr>
          <w:rFonts w:ascii="Times New Roman" w:eastAsia="Times New Roman" w:hAnsi="Times New Roman" w:cs="Times New Roman"/>
          <w:sz w:val="24"/>
          <w:szCs w:val="24"/>
          <w:lang w:eastAsia="pl-PL"/>
        </w:rPr>
      </w:pPr>
      <w:r w:rsidRPr="00E623ED">
        <w:rPr>
          <w:rFonts w:ascii="Times New Roman" w:eastAsia="Times New Roman" w:hAnsi="Times New Roman" w:cs="Times New Roman"/>
          <w:sz w:val="24"/>
          <w:szCs w:val="24"/>
          <w:lang w:eastAsia="pl-PL"/>
        </w:rPr>
        <w:t>Platforma Usług Elektronicznych (PUE), będzie głównym, internetowym punktem dostępu do informacji oraz e-usług świadczonych przez ARiMR.</w:t>
      </w:r>
    </w:p>
    <w:p w:rsidR="00E623ED" w:rsidRPr="00E623ED" w:rsidRDefault="00E623ED" w:rsidP="00E623ED">
      <w:pPr>
        <w:spacing w:before="100" w:beforeAutospacing="1" w:after="100" w:afterAutospacing="1" w:line="360" w:lineRule="auto"/>
        <w:rPr>
          <w:rFonts w:ascii="Times New Roman" w:eastAsia="Times New Roman" w:hAnsi="Times New Roman" w:cs="Times New Roman"/>
          <w:sz w:val="24"/>
          <w:szCs w:val="24"/>
          <w:lang w:eastAsia="pl-PL"/>
        </w:rPr>
      </w:pPr>
      <w:r w:rsidRPr="00E623ED">
        <w:rPr>
          <w:rFonts w:ascii="Times New Roman" w:eastAsia="Times New Roman" w:hAnsi="Times New Roman" w:cs="Times New Roman"/>
          <w:sz w:val="24"/>
          <w:szCs w:val="24"/>
          <w:lang w:eastAsia="pl-PL"/>
        </w:rPr>
        <w:t>Po autoryzacji Użytkownik w zintegrowany sposób zobaczy swoje dane w Agencji: dane osobowe i firmowe, listę złożonych wniosków i spraw z aktualnym statusem, historię zmian we wnioskach, spersonalizowane powiadomienia, informacje finansowe.</w:t>
      </w:r>
    </w:p>
    <w:p w:rsidR="00E623ED" w:rsidRPr="00E623ED" w:rsidRDefault="00E623ED" w:rsidP="00E623ED">
      <w:pPr>
        <w:spacing w:before="100" w:beforeAutospacing="1" w:after="100" w:afterAutospacing="1" w:line="360" w:lineRule="auto"/>
        <w:rPr>
          <w:rFonts w:ascii="Times New Roman" w:eastAsia="Times New Roman" w:hAnsi="Times New Roman" w:cs="Times New Roman"/>
          <w:sz w:val="24"/>
          <w:szCs w:val="24"/>
          <w:lang w:eastAsia="pl-PL"/>
        </w:rPr>
      </w:pPr>
      <w:r w:rsidRPr="00E623ED">
        <w:rPr>
          <w:rFonts w:ascii="Times New Roman" w:eastAsia="Times New Roman" w:hAnsi="Times New Roman" w:cs="Times New Roman"/>
          <w:sz w:val="24"/>
          <w:szCs w:val="24"/>
          <w:lang w:eastAsia="pl-PL"/>
        </w:rPr>
        <w:t>Udostępnione e-usługi będą mogły być świadczone w jednolity i spersonalizowany sposób.</w:t>
      </w:r>
    </w:p>
    <w:p w:rsidR="00E623ED" w:rsidRPr="00E623ED" w:rsidRDefault="00E623ED" w:rsidP="00E623ED">
      <w:pPr>
        <w:spacing w:before="100" w:beforeAutospacing="1" w:after="100" w:afterAutospacing="1" w:line="360" w:lineRule="auto"/>
        <w:rPr>
          <w:rFonts w:ascii="Times New Roman" w:eastAsia="Times New Roman" w:hAnsi="Times New Roman" w:cs="Times New Roman"/>
          <w:sz w:val="24"/>
          <w:szCs w:val="24"/>
          <w:lang w:eastAsia="pl-PL"/>
        </w:rPr>
      </w:pPr>
      <w:r w:rsidRPr="00E623ED">
        <w:rPr>
          <w:rFonts w:ascii="Times New Roman" w:eastAsia="Times New Roman" w:hAnsi="Times New Roman" w:cs="Times New Roman"/>
          <w:sz w:val="24"/>
          <w:szCs w:val="24"/>
          <w:lang w:eastAsia="pl-PL"/>
        </w:rPr>
        <w:lastRenderedPageBreak/>
        <w:t>PUE uprości składanie i obsługę wniosków, a także przyczyni się to do zmniejszenia nakładu pracy oraz kosztów (np.: poprzez brak dokumentów w formie papierowej) po stronie ARiMR. Personalizacja usług zautomatyzuje cyfrowo oraz usprawni kontakt Beneficjenta z ARiMR.</w:t>
      </w:r>
    </w:p>
    <w:p w:rsidR="00E623ED" w:rsidRPr="00E623ED" w:rsidRDefault="00E623ED" w:rsidP="00E623ED">
      <w:pPr>
        <w:spacing w:before="100" w:beforeAutospacing="1" w:after="100" w:afterAutospacing="1" w:line="360" w:lineRule="auto"/>
        <w:rPr>
          <w:rFonts w:ascii="Times New Roman" w:eastAsia="Times New Roman" w:hAnsi="Times New Roman" w:cs="Times New Roman"/>
          <w:sz w:val="24"/>
          <w:szCs w:val="24"/>
          <w:lang w:eastAsia="pl-PL"/>
        </w:rPr>
      </w:pPr>
      <w:r w:rsidRPr="00E623ED">
        <w:rPr>
          <w:rFonts w:ascii="Times New Roman" w:eastAsia="Times New Roman" w:hAnsi="Times New Roman" w:cs="Times New Roman"/>
          <w:sz w:val="24"/>
          <w:szCs w:val="24"/>
          <w:lang w:eastAsia="pl-PL"/>
        </w:rPr>
        <w:t>PUE będzie docelowo zintegrowane ze wszystkim systemami dziedzinowymi, a przede wszystkim z Centralnym Systemem Obsługi Beneficjenta, stanowiącym repozytorium wszystkich wniosków przez niego złożonych.</w:t>
      </w:r>
    </w:p>
    <w:p w:rsidR="00E623ED" w:rsidRPr="00E623ED" w:rsidRDefault="00E623ED" w:rsidP="00E623ED">
      <w:pPr>
        <w:spacing w:before="100" w:beforeAutospacing="1" w:after="100" w:afterAutospacing="1" w:line="360" w:lineRule="auto"/>
        <w:rPr>
          <w:rFonts w:ascii="Times New Roman" w:eastAsia="Times New Roman" w:hAnsi="Times New Roman" w:cs="Times New Roman"/>
          <w:sz w:val="24"/>
          <w:szCs w:val="24"/>
          <w:lang w:eastAsia="pl-PL"/>
        </w:rPr>
      </w:pPr>
      <w:r w:rsidRPr="00E623ED">
        <w:rPr>
          <w:rFonts w:ascii="Times New Roman" w:eastAsia="Times New Roman" w:hAnsi="Times New Roman" w:cs="Times New Roman"/>
          <w:sz w:val="24"/>
          <w:szCs w:val="24"/>
          <w:lang w:eastAsia="pl-PL"/>
        </w:rPr>
        <w:t>Nadrzędnym celem aplikacji jest usprawnienie i zwiększenie efektywności obsługi klientów.</w:t>
      </w:r>
    </w:p>
    <w:p w:rsidR="00E623ED" w:rsidRPr="00E623ED" w:rsidRDefault="00E623ED" w:rsidP="00D245FB">
      <w:pPr>
        <w:spacing w:before="100" w:beforeAutospacing="1" w:after="100" w:afterAutospacing="1" w:line="360" w:lineRule="auto"/>
        <w:rPr>
          <w:rFonts w:ascii="Times New Roman" w:eastAsia="Times New Roman" w:hAnsi="Times New Roman" w:cs="Times New Roman"/>
          <w:b/>
          <w:bCs/>
          <w:sz w:val="20"/>
          <w:szCs w:val="20"/>
          <w:lang w:eastAsia="pl-PL"/>
        </w:rPr>
      </w:pPr>
      <w:r w:rsidRPr="00E623ED">
        <w:rPr>
          <w:rFonts w:ascii="Times New Roman" w:eastAsia="Times New Roman" w:hAnsi="Times New Roman" w:cs="Times New Roman"/>
          <w:sz w:val="24"/>
          <w:szCs w:val="24"/>
          <w:lang w:eastAsia="pl-PL"/>
        </w:rPr>
        <w:t> </w:t>
      </w:r>
      <w:r w:rsidRPr="00E623ED">
        <w:rPr>
          <w:rFonts w:ascii="Times New Roman" w:eastAsia="Times New Roman" w:hAnsi="Times New Roman" w:cs="Times New Roman"/>
          <w:b/>
          <w:bCs/>
          <w:sz w:val="20"/>
          <w:szCs w:val="20"/>
          <w:lang w:eastAsia="pl-PL"/>
        </w:rPr>
        <w:t>Zakładanie konta na PUE</w:t>
      </w:r>
    </w:p>
    <w:p w:rsidR="00E623ED" w:rsidRPr="00E623ED" w:rsidRDefault="00E623ED" w:rsidP="00E623ED">
      <w:pPr>
        <w:spacing w:before="100" w:beforeAutospacing="1" w:after="100" w:afterAutospacing="1" w:line="360" w:lineRule="auto"/>
        <w:rPr>
          <w:rFonts w:ascii="Times New Roman" w:eastAsia="Times New Roman" w:hAnsi="Times New Roman" w:cs="Times New Roman"/>
          <w:sz w:val="24"/>
          <w:szCs w:val="24"/>
          <w:lang w:eastAsia="pl-PL"/>
        </w:rPr>
      </w:pPr>
      <w:r w:rsidRPr="00E623ED">
        <w:rPr>
          <w:rFonts w:ascii="Times New Roman" w:eastAsia="Times New Roman" w:hAnsi="Times New Roman" w:cs="Times New Roman"/>
          <w:sz w:val="24"/>
          <w:szCs w:val="24"/>
          <w:lang w:eastAsia="pl-PL"/>
        </w:rPr>
        <w:t>Aby korzystać ze strony ARiMR, konieczne jest posiadanie lub założenie konta na Platformie Usług Elektronicznych (PUE) ARiMR. Proces rejestracji i uzyskania dostępu do aplikacji odbywa się w pełni online. W trakcie zakładania konta będziesz proszony o wprowadzenie następujących danych:</w:t>
      </w:r>
    </w:p>
    <w:p w:rsidR="00E623ED" w:rsidRPr="00E623ED" w:rsidRDefault="00E623ED" w:rsidP="00E623ED">
      <w:pPr>
        <w:numPr>
          <w:ilvl w:val="0"/>
          <w:numId w:val="3"/>
        </w:numPr>
        <w:spacing w:before="100" w:beforeAutospacing="1" w:after="100" w:afterAutospacing="1" w:line="360" w:lineRule="auto"/>
        <w:rPr>
          <w:rFonts w:ascii="Times New Roman" w:eastAsia="Times New Roman" w:hAnsi="Times New Roman" w:cs="Times New Roman"/>
          <w:sz w:val="24"/>
          <w:szCs w:val="24"/>
          <w:lang w:eastAsia="pl-PL"/>
        </w:rPr>
      </w:pPr>
      <w:r w:rsidRPr="00E623ED">
        <w:rPr>
          <w:rFonts w:ascii="Times New Roman" w:eastAsia="Times New Roman" w:hAnsi="Times New Roman" w:cs="Times New Roman"/>
          <w:sz w:val="24"/>
          <w:szCs w:val="24"/>
          <w:lang w:eastAsia="pl-PL"/>
        </w:rPr>
        <w:t>numer producenta rolnego (nr EP) nadany przez ARiMR</w:t>
      </w:r>
    </w:p>
    <w:p w:rsidR="00E623ED" w:rsidRPr="00E623ED" w:rsidRDefault="00E623ED" w:rsidP="00E623ED">
      <w:pPr>
        <w:numPr>
          <w:ilvl w:val="0"/>
          <w:numId w:val="3"/>
        </w:numPr>
        <w:spacing w:before="100" w:beforeAutospacing="1" w:after="100" w:afterAutospacing="1" w:line="360" w:lineRule="auto"/>
        <w:rPr>
          <w:rFonts w:ascii="Times New Roman" w:eastAsia="Times New Roman" w:hAnsi="Times New Roman" w:cs="Times New Roman"/>
          <w:sz w:val="24"/>
          <w:szCs w:val="24"/>
          <w:lang w:eastAsia="pl-PL"/>
        </w:rPr>
      </w:pPr>
      <w:r w:rsidRPr="00E623ED">
        <w:rPr>
          <w:rFonts w:ascii="Times New Roman" w:eastAsia="Times New Roman" w:hAnsi="Times New Roman" w:cs="Times New Roman"/>
          <w:sz w:val="24"/>
          <w:szCs w:val="24"/>
          <w:lang w:eastAsia="pl-PL"/>
        </w:rPr>
        <w:t>8 ostatnich cyfr numeru rachunku bankowego przyporządkowanego dla tego numeru EP – chodzi o numer rachunku podany przy zakładaniu numeru producenta w ARiMR</w:t>
      </w:r>
    </w:p>
    <w:p w:rsidR="00E623ED" w:rsidRPr="00E623ED" w:rsidRDefault="00E623ED" w:rsidP="00E623ED">
      <w:pPr>
        <w:numPr>
          <w:ilvl w:val="0"/>
          <w:numId w:val="3"/>
        </w:numPr>
        <w:spacing w:before="100" w:beforeAutospacing="1" w:after="100" w:afterAutospacing="1" w:line="360" w:lineRule="auto"/>
        <w:rPr>
          <w:rFonts w:ascii="Times New Roman" w:eastAsia="Times New Roman" w:hAnsi="Times New Roman" w:cs="Times New Roman"/>
          <w:sz w:val="24"/>
          <w:szCs w:val="24"/>
          <w:lang w:eastAsia="pl-PL"/>
        </w:rPr>
      </w:pPr>
      <w:r w:rsidRPr="00E623ED">
        <w:rPr>
          <w:rFonts w:ascii="Times New Roman" w:eastAsia="Times New Roman" w:hAnsi="Times New Roman" w:cs="Times New Roman"/>
          <w:sz w:val="24"/>
          <w:szCs w:val="24"/>
          <w:lang w:eastAsia="pl-PL"/>
        </w:rPr>
        <w:t>kwotę ostatniej płatności wypłaconej przez ARiMR – dotyczy osób, które mają już założone konto i otrzymały płatność w danym roku. W przypadku osób, które nie otrzymały przelewu lub osób, które dopiero zakładają konto należy wpisać 0,00.</w:t>
      </w:r>
    </w:p>
    <w:p w:rsidR="00E623ED" w:rsidRPr="00E623ED" w:rsidRDefault="00E623ED" w:rsidP="00E623ED">
      <w:pPr>
        <w:spacing w:before="100" w:beforeAutospacing="1" w:after="100" w:afterAutospacing="1" w:line="360" w:lineRule="auto"/>
        <w:rPr>
          <w:rFonts w:ascii="Times New Roman" w:eastAsia="Times New Roman" w:hAnsi="Times New Roman" w:cs="Times New Roman"/>
          <w:sz w:val="24"/>
          <w:szCs w:val="24"/>
          <w:lang w:eastAsia="pl-PL"/>
        </w:rPr>
      </w:pPr>
      <w:r w:rsidRPr="00E623ED">
        <w:rPr>
          <w:rFonts w:ascii="Times New Roman" w:eastAsia="Times New Roman" w:hAnsi="Times New Roman" w:cs="Times New Roman"/>
          <w:b/>
          <w:bCs/>
          <w:sz w:val="24"/>
          <w:szCs w:val="24"/>
          <w:lang w:eastAsia="pl-PL"/>
        </w:rPr>
        <w:t>Logowanie do aplikacji Platforma Usług Elektronicznych (PUE), dostępne jest z poziomu strony internetowej Agencji Restrukturyzacji i Modernizacji Rolnictwa pod adresem</w:t>
      </w:r>
    </w:p>
    <w:p w:rsidR="00E623ED" w:rsidRPr="00E623ED" w:rsidRDefault="00E623ED" w:rsidP="00E623ED">
      <w:pPr>
        <w:spacing w:before="100" w:beforeAutospacing="1" w:after="100" w:afterAutospacing="1" w:line="360" w:lineRule="auto"/>
        <w:rPr>
          <w:rFonts w:ascii="Times New Roman" w:eastAsia="Times New Roman" w:hAnsi="Times New Roman" w:cs="Times New Roman"/>
          <w:sz w:val="24"/>
          <w:szCs w:val="24"/>
          <w:lang w:eastAsia="pl-PL"/>
        </w:rPr>
      </w:pPr>
      <w:hyperlink r:id="rId6" w:history="1">
        <w:r w:rsidRPr="00E623ED">
          <w:rPr>
            <w:rFonts w:ascii="Times New Roman" w:eastAsia="Times New Roman" w:hAnsi="Times New Roman" w:cs="Times New Roman"/>
            <w:color w:val="0000FF"/>
            <w:sz w:val="24"/>
            <w:szCs w:val="24"/>
            <w:u w:val="single"/>
            <w:lang w:eastAsia="pl-PL"/>
          </w:rPr>
          <w:t>https://www.gov.pl/web/arimr/platforma-uslug-elektronicznych</w:t>
        </w:r>
      </w:hyperlink>
      <w:r w:rsidRPr="00E623ED">
        <w:rPr>
          <w:rFonts w:ascii="Times New Roman" w:eastAsia="Times New Roman" w:hAnsi="Times New Roman" w:cs="Times New Roman"/>
          <w:sz w:val="24"/>
          <w:szCs w:val="24"/>
          <w:lang w:eastAsia="pl-PL"/>
        </w:rPr>
        <w:t>.</w:t>
      </w:r>
    </w:p>
    <w:p w:rsidR="00B81895" w:rsidRPr="00B81895" w:rsidRDefault="00B81895" w:rsidP="00B81895">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B81895">
        <w:rPr>
          <w:rFonts w:ascii="Times New Roman" w:eastAsia="Times New Roman" w:hAnsi="Times New Roman" w:cs="Times New Roman"/>
          <w:b/>
          <w:bCs/>
          <w:kern w:val="36"/>
          <w:sz w:val="48"/>
          <w:szCs w:val="48"/>
          <w:lang w:eastAsia="pl-PL"/>
        </w:rPr>
        <w:t>Numer producenta rolnego – pierwszy krok do uzyskanie wsparcia w ramach PS WPR na lata 2023-2027</w:t>
      </w:r>
    </w:p>
    <w:p w:rsidR="00B81895" w:rsidRPr="00B81895" w:rsidRDefault="00B81895" w:rsidP="00B81895">
      <w:pPr>
        <w:spacing w:before="100" w:beforeAutospacing="1" w:after="100" w:afterAutospacing="1" w:line="360" w:lineRule="auto"/>
        <w:rPr>
          <w:rFonts w:ascii="Times New Roman" w:eastAsia="Times New Roman" w:hAnsi="Times New Roman" w:cs="Times New Roman"/>
          <w:sz w:val="24"/>
          <w:szCs w:val="24"/>
          <w:lang w:eastAsia="pl-PL"/>
        </w:rPr>
      </w:pPr>
      <w:r w:rsidRPr="00B81895">
        <w:rPr>
          <w:rFonts w:ascii="Times New Roman" w:eastAsia="Times New Roman" w:hAnsi="Times New Roman" w:cs="Times New Roman"/>
          <w:sz w:val="24"/>
          <w:szCs w:val="24"/>
          <w:lang w:eastAsia="pl-PL"/>
        </w:rPr>
        <w:t xml:space="preserve">Aby ubiegać się o wsparcie finansowe w ramach Planu Strategicznego Wspólnej Polityki Rolnej (PS WPR) na lata 2023-2027, wnioskodawca musi posiadać nadany numer producenta </w:t>
      </w:r>
      <w:r w:rsidRPr="00B81895">
        <w:rPr>
          <w:rFonts w:ascii="Times New Roman" w:eastAsia="Times New Roman" w:hAnsi="Times New Roman" w:cs="Times New Roman"/>
          <w:sz w:val="24"/>
          <w:szCs w:val="24"/>
          <w:lang w:eastAsia="pl-PL"/>
        </w:rPr>
        <w:lastRenderedPageBreak/>
        <w:t>rolnego. Jest to podstawowy wymóg formalny, który pozwala na identyfikację beneficjenta w systemie Agencji Restrukturyzacji i Modernizacji Rolnictwa (ARiMR). Jego uzyskanie to krok, który każdy potencjalny beneficjent powinien zaplanować z wyprzedzeniem, aby zapewnić płynność procesu aplikacyjnego</w:t>
      </w:r>
    </w:p>
    <w:p w:rsidR="00B81895" w:rsidRPr="00B81895" w:rsidRDefault="00B81895" w:rsidP="00B81895">
      <w:pPr>
        <w:spacing w:before="100" w:beforeAutospacing="1" w:after="100" w:afterAutospacing="1" w:line="360" w:lineRule="auto"/>
        <w:outlineLvl w:val="4"/>
        <w:rPr>
          <w:rFonts w:ascii="Times New Roman" w:eastAsia="Times New Roman" w:hAnsi="Times New Roman" w:cs="Times New Roman"/>
          <w:b/>
          <w:bCs/>
          <w:sz w:val="20"/>
          <w:szCs w:val="20"/>
          <w:lang w:eastAsia="pl-PL"/>
        </w:rPr>
      </w:pPr>
      <w:r w:rsidRPr="00B81895">
        <w:rPr>
          <w:rFonts w:ascii="Times New Roman" w:eastAsia="Times New Roman" w:hAnsi="Times New Roman" w:cs="Times New Roman"/>
          <w:b/>
          <w:bCs/>
          <w:sz w:val="20"/>
          <w:szCs w:val="20"/>
          <w:lang w:eastAsia="pl-PL"/>
        </w:rPr>
        <w:t>Czym jest numer producenta rolnego?</w:t>
      </w:r>
    </w:p>
    <w:p w:rsidR="00B81895" w:rsidRPr="00B81895" w:rsidRDefault="00B81895" w:rsidP="00B81895">
      <w:pPr>
        <w:spacing w:before="100" w:beforeAutospacing="1" w:after="100" w:afterAutospacing="1" w:line="360" w:lineRule="auto"/>
        <w:rPr>
          <w:rFonts w:ascii="Times New Roman" w:eastAsia="Times New Roman" w:hAnsi="Times New Roman" w:cs="Times New Roman"/>
          <w:sz w:val="24"/>
          <w:szCs w:val="24"/>
          <w:lang w:eastAsia="pl-PL"/>
        </w:rPr>
      </w:pPr>
      <w:r w:rsidRPr="00B81895">
        <w:rPr>
          <w:rFonts w:ascii="Times New Roman" w:eastAsia="Times New Roman" w:hAnsi="Times New Roman" w:cs="Times New Roman"/>
          <w:b/>
          <w:bCs/>
          <w:sz w:val="24"/>
          <w:szCs w:val="24"/>
          <w:lang w:eastAsia="pl-PL"/>
        </w:rPr>
        <w:t>Numer producenta rolnego ARiMR</w:t>
      </w:r>
      <w:r w:rsidRPr="00B81895">
        <w:rPr>
          <w:rFonts w:ascii="Times New Roman" w:eastAsia="Times New Roman" w:hAnsi="Times New Roman" w:cs="Times New Roman"/>
          <w:sz w:val="24"/>
          <w:szCs w:val="24"/>
          <w:lang w:eastAsia="pl-PL"/>
        </w:rPr>
        <w:t>, inaczej nazywany numerem identyfikacyjnym ewidencji producentów, </w:t>
      </w:r>
      <w:r w:rsidRPr="00B81895">
        <w:rPr>
          <w:rFonts w:ascii="Times New Roman" w:eastAsia="Times New Roman" w:hAnsi="Times New Roman" w:cs="Times New Roman"/>
          <w:b/>
          <w:bCs/>
          <w:sz w:val="24"/>
          <w:szCs w:val="24"/>
          <w:lang w:eastAsia="pl-PL"/>
        </w:rPr>
        <w:t>składa się z 9 cyfr i identyfikuje każdego producenta rolnego</w:t>
      </w:r>
      <w:r w:rsidRPr="00B81895">
        <w:rPr>
          <w:rFonts w:ascii="Times New Roman" w:eastAsia="Times New Roman" w:hAnsi="Times New Roman" w:cs="Times New Roman"/>
          <w:sz w:val="24"/>
          <w:szCs w:val="24"/>
          <w:lang w:eastAsia="pl-PL"/>
        </w:rPr>
        <w:t>, który jest posiadaczem zwierząt lub osobą, która chce ubiegać się o dofinansowanie ze środków Unii Europejskiej. Numer ten nadawany jest przez ARiMR na podstawie przepisów ustawy z dnia 18 grudnia 2003 roku o krajowym systemie ewidencji producentów, ewidencji gospodarstw rolnych oraz ewidencji wniosków o przyznanie płatności  (Dz.U. z 2004 r. Nr 10, poz. 76 ze zm.).</w:t>
      </w:r>
    </w:p>
    <w:p w:rsidR="00B81895" w:rsidRPr="00B81895" w:rsidRDefault="00B81895" w:rsidP="00B81895">
      <w:pPr>
        <w:spacing w:before="100" w:beforeAutospacing="1" w:after="100" w:afterAutospacing="1" w:line="360" w:lineRule="auto"/>
        <w:rPr>
          <w:rFonts w:ascii="Times New Roman" w:eastAsia="Times New Roman" w:hAnsi="Times New Roman" w:cs="Times New Roman"/>
          <w:sz w:val="24"/>
          <w:szCs w:val="24"/>
          <w:lang w:eastAsia="pl-PL"/>
        </w:rPr>
      </w:pPr>
      <w:r w:rsidRPr="00B81895">
        <w:rPr>
          <w:rFonts w:ascii="Times New Roman" w:eastAsia="Times New Roman" w:hAnsi="Times New Roman" w:cs="Times New Roman"/>
          <w:sz w:val="24"/>
          <w:szCs w:val="24"/>
          <w:lang w:eastAsia="pl-PL"/>
        </w:rPr>
        <w:t>Warto podkreślić, że numer producenta ARiMR jest niepowtarzalny i unikalny dla każdego producenta rolnego. Numer nadany konkretnej osobie nie przechodzi na następcę prawnego. Co więcej, wspomnianym numerem należy się posługiwać w trakcie kontaktu z ARiMR.</w:t>
      </w:r>
    </w:p>
    <w:p w:rsidR="00B81895" w:rsidRPr="00B81895" w:rsidRDefault="00B81895" w:rsidP="00B81895">
      <w:pPr>
        <w:spacing w:before="100" w:beforeAutospacing="1" w:after="100" w:afterAutospacing="1" w:line="360" w:lineRule="auto"/>
        <w:outlineLvl w:val="4"/>
        <w:rPr>
          <w:rFonts w:ascii="Times New Roman" w:eastAsia="Times New Roman" w:hAnsi="Times New Roman" w:cs="Times New Roman"/>
          <w:b/>
          <w:bCs/>
          <w:sz w:val="20"/>
          <w:szCs w:val="20"/>
          <w:lang w:eastAsia="pl-PL"/>
        </w:rPr>
      </w:pPr>
      <w:r w:rsidRPr="00B81895">
        <w:rPr>
          <w:rFonts w:ascii="Times New Roman" w:eastAsia="Times New Roman" w:hAnsi="Times New Roman" w:cs="Times New Roman"/>
          <w:b/>
          <w:bCs/>
          <w:sz w:val="20"/>
          <w:szCs w:val="20"/>
          <w:lang w:eastAsia="pl-PL"/>
        </w:rPr>
        <w:t>Kto musi posiadać numer producenta rolnego?</w:t>
      </w:r>
    </w:p>
    <w:p w:rsidR="00B81895" w:rsidRPr="00B81895" w:rsidRDefault="00B81895" w:rsidP="00B81895">
      <w:pPr>
        <w:spacing w:before="100" w:beforeAutospacing="1" w:after="100" w:afterAutospacing="1" w:line="360" w:lineRule="auto"/>
        <w:rPr>
          <w:rFonts w:ascii="Times New Roman" w:eastAsia="Times New Roman" w:hAnsi="Times New Roman" w:cs="Times New Roman"/>
          <w:sz w:val="24"/>
          <w:szCs w:val="24"/>
          <w:lang w:eastAsia="pl-PL"/>
        </w:rPr>
      </w:pPr>
      <w:r w:rsidRPr="00B81895">
        <w:rPr>
          <w:rFonts w:ascii="Times New Roman" w:eastAsia="Times New Roman" w:hAnsi="Times New Roman" w:cs="Times New Roman"/>
          <w:sz w:val="24"/>
          <w:szCs w:val="24"/>
          <w:lang w:eastAsia="pl-PL"/>
        </w:rPr>
        <w:t>Numer producenta rolnego jest obowiązkowy dla każdego beneficjenta ubiegającego się o dofinansowanie w ramach PS WPR na lata 2023-2027. Dotyczy to zarówno osób fizycznych planujących rozpoczęcie działalności gospodarczej, jak i firm rozwijających swoją działalność, a także jednostek sektora finansów publicznych, stowarzyszeń oraz innych osób prawnych.</w:t>
      </w:r>
    </w:p>
    <w:p w:rsidR="00B81895" w:rsidRPr="00B81895" w:rsidRDefault="00B81895" w:rsidP="00B81895">
      <w:pPr>
        <w:spacing w:before="100" w:beforeAutospacing="1" w:after="100" w:afterAutospacing="1" w:line="360" w:lineRule="auto"/>
        <w:outlineLvl w:val="4"/>
        <w:rPr>
          <w:rFonts w:ascii="Times New Roman" w:eastAsia="Times New Roman" w:hAnsi="Times New Roman" w:cs="Times New Roman"/>
          <w:b/>
          <w:bCs/>
          <w:sz w:val="20"/>
          <w:szCs w:val="20"/>
          <w:lang w:eastAsia="pl-PL"/>
        </w:rPr>
      </w:pPr>
      <w:r w:rsidRPr="00B81895">
        <w:rPr>
          <w:rFonts w:ascii="Times New Roman" w:eastAsia="Times New Roman" w:hAnsi="Times New Roman" w:cs="Times New Roman"/>
          <w:b/>
          <w:bCs/>
          <w:sz w:val="20"/>
          <w:szCs w:val="20"/>
          <w:lang w:eastAsia="pl-PL"/>
        </w:rPr>
        <w:t>Jak uzyskać numer producenta rolnego?</w:t>
      </w:r>
    </w:p>
    <w:p w:rsidR="00B81895" w:rsidRPr="00B81895" w:rsidRDefault="00B81895" w:rsidP="00B81895">
      <w:pPr>
        <w:spacing w:before="100" w:beforeAutospacing="1" w:after="100" w:afterAutospacing="1" w:line="360" w:lineRule="auto"/>
        <w:rPr>
          <w:rFonts w:ascii="Times New Roman" w:eastAsia="Times New Roman" w:hAnsi="Times New Roman" w:cs="Times New Roman"/>
          <w:sz w:val="24"/>
          <w:szCs w:val="24"/>
          <w:lang w:eastAsia="pl-PL"/>
        </w:rPr>
      </w:pPr>
      <w:r w:rsidRPr="00B81895">
        <w:rPr>
          <w:rFonts w:ascii="Times New Roman" w:eastAsia="Times New Roman" w:hAnsi="Times New Roman" w:cs="Times New Roman"/>
          <w:sz w:val="24"/>
          <w:szCs w:val="24"/>
          <w:lang w:eastAsia="pl-PL"/>
        </w:rPr>
        <w:t>Aby uzyskać numer producenta rolnego, należy złożyć wniosek o wpis do ewidencji producentów (czyli o nadanie numeru identyfikacyjnego) do kierownika biura powiatowego ARiMR właściwego ze względu na miejsce zamieszkania lub siedzibę wnioskodawcy.</w:t>
      </w:r>
    </w:p>
    <w:p w:rsidR="00B81895" w:rsidRPr="00B81895" w:rsidRDefault="00B81895" w:rsidP="00B81895">
      <w:pPr>
        <w:spacing w:before="100" w:beforeAutospacing="1" w:after="100" w:afterAutospacing="1" w:line="360" w:lineRule="auto"/>
        <w:rPr>
          <w:rFonts w:ascii="Times New Roman" w:eastAsia="Times New Roman" w:hAnsi="Times New Roman" w:cs="Times New Roman"/>
          <w:sz w:val="24"/>
          <w:szCs w:val="24"/>
          <w:lang w:eastAsia="pl-PL"/>
        </w:rPr>
      </w:pPr>
      <w:r w:rsidRPr="00B81895">
        <w:rPr>
          <w:rFonts w:ascii="Times New Roman" w:eastAsia="Times New Roman" w:hAnsi="Times New Roman" w:cs="Times New Roman"/>
          <w:sz w:val="24"/>
          <w:szCs w:val="24"/>
          <w:lang w:eastAsia="pl-PL"/>
        </w:rPr>
        <w:t>Wniosek można złożyć w następujący sposób:</w:t>
      </w:r>
    </w:p>
    <w:p w:rsidR="00B81895" w:rsidRPr="00B81895" w:rsidRDefault="00B81895" w:rsidP="00B81895">
      <w:pPr>
        <w:numPr>
          <w:ilvl w:val="0"/>
          <w:numId w:val="4"/>
        </w:numPr>
        <w:spacing w:before="100" w:beforeAutospacing="1" w:after="100" w:afterAutospacing="1" w:line="360" w:lineRule="auto"/>
        <w:rPr>
          <w:rFonts w:ascii="Times New Roman" w:eastAsia="Times New Roman" w:hAnsi="Times New Roman" w:cs="Times New Roman"/>
          <w:sz w:val="24"/>
          <w:szCs w:val="24"/>
          <w:lang w:eastAsia="pl-PL"/>
        </w:rPr>
      </w:pPr>
      <w:r w:rsidRPr="00B81895">
        <w:rPr>
          <w:rFonts w:ascii="Times New Roman" w:eastAsia="Times New Roman" w:hAnsi="Times New Roman" w:cs="Times New Roman"/>
          <w:sz w:val="24"/>
          <w:szCs w:val="24"/>
          <w:lang w:eastAsia="pl-PL"/>
        </w:rPr>
        <w:t>osobiście albo</w:t>
      </w:r>
    </w:p>
    <w:p w:rsidR="00B81895" w:rsidRPr="00B81895" w:rsidRDefault="00B81895" w:rsidP="00B81895">
      <w:pPr>
        <w:numPr>
          <w:ilvl w:val="0"/>
          <w:numId w:val="4"/>
        </w:numPr>
        <w:spacing w:before="100" w:beforeAutospacing="1" w:after="100" w:afterAutospacing="1" w:line="360" w:lineRule="auto"/>
        <w:rPr>
          <w:rFonts w:ascii="Times New Roman" w:eastAsia="Times New Roman" w:hAnsi="Times New Roman" w:cs="Times New Roman"/>
          <w:sz w:val="24"/>
          <w:szCs w:val="24"/>
          <w:lang w:eastAsia="pl-PL"/>
        </w:rPr>
      </w:pPr>
      <w:r w:rsidRPr="00B81895">
        <w:rPr>
          <w:rFonts w:ascii="Times New Roman" w:eastAsia="Times New Roman" w:hAnsi="Times New Roman" w:cs="Times New Roman"/>
          <w:sz w:val="24"/>
          <w:szCs w:val="24"/>
          <w:lang w:eastAsia="pl-PL"/>
        </w:rPr>
        <w:t>wysłać pocztą (o dacie złożenia decyduje data stempla pocztowego), albo</w:t>
      </w:r>
    </w:p>
    <w:p w:rsidR="00B81895" w:rsidRPr="00B81895" w:rsidRDefault="00B81895" w:rsidP="00B81895">
      <w:pPr>
        <w:numPr>
          <w:ilvl w:val="0"/>
          <w:numId w:val="4"/>
        </w:numPr>
        <w:spacing w:before="100" w:beforeAutospacing="1" w:after="100" w:afterAutospacing="1" w:line="360" w:lineRule="auto"/>
        <w:rPr>
          <w:rFonts w:ascii="Times New Roman" w:eastAsia="Times New Roman" w:hAnsi="Times New Roman" w:cs="Times New Roman"/>
          <w:sz w:val="24"/>
          <w:szCs w:val="24"/>
          <w:lang w:eastAsia="pl-PL"/>
        </w:rPr>
      </w:pPr>
      <w:r w:rsidRPr="00B81895">
        <w:rPr>
          <w:rFonts w:ascii="Times New Roman" w:eastAsia="Times New Roman" w:hAnsi="Times New Roman" w:cs="Times New Roman"/>
          <w:sz w:val="24"/>
          <w:szCs w:val="24"/>
          <w:lang w:eastAsia="pl-PL"/>
        </w:rPr>
        <w:lastRenderedPageBreak/>
        <w:t>drogą elektroniczną za pośrednictwem ePUAP.</w:t>
      </w:r>
    </w:p>
    <w:p w:rsidR="00B81895" w:rsidRPr="00B81895" w:rsidRDefault="00B81895" w:rsidP="00B81895">
      <w:pPr>
        <w:spacing w:before="100" w:beforeAutospacing="1" w:after="100" w:afterAutospacing="1" w:line="360" w:lineRule="auto"/>
        <w:rPr>
          <w:rFonts w:ascii="Times New Roman" w:eastAsia="Times New Roman" w:hAnsi="Times New Roman" w:cs="Times New Roman"/>
          <w:sz w:val="24"/>
          <w:szCs w:val="24"/>
          <w:lang w:eastAsia="pl-PL"/>
        </w:rPr>
      </w:pPr>
      <w:r w:rsidRPr="00B81895">
        <w:rPr>
          <w:rFonts w:ascii="Times New Roman" w:eastAsia="Times New Roman" w:hAnsi="Times New Roman" w:cs="Times New Roman"/>
          <w:sz w:val="24"/>
          <w:szCs w:val="24"/>
          <w:lang w:eastAsia="pl-PL"/>
        </w:rPr>
        <w:t>Formularze wniosku wraz z załącznikami dostępne są:</w:t>
      </w:r>
    </w:p>
    <w:p w:rsidR="00B81895" w:rsidRPr="00B81895" w:rsidRDefault="00B81895" w:rsidP="00B81895">
      <w:pPr>
        <w:numPr>
          <w:ilvl w:val="0"/>
          <w:numId w:val="5"/>
        </w:numPr>
        <w:spacing w:before="100" w:beforeAutospacing="1" w:after="100" w:afterAutospacing="1" w:line="360" w:lineRule="auto"/>
        <w:rPr>
          <w:rFonts w:ascii="Times New Roman" w:eastAsia="Times New Roman" w:hAnsi="Times New Roman" w:cs="Times New Roman"/>
          <w:sz w:val="24"/>
          <w:szCs w:val="24"/>
          <w:lang w:eastAsia="pl-PL"/>
        </w:rPr>
      </w:pPr>
      <w:r w:rsidRPr="00B81895">
        <w:rPr>
          <w:rFonts w:ascii="Times New Roman" w:eastAsia="Times New Roman" w:hAnsi="Times New Roman" w:cs="Times New Roman"/>
          <w:sz w:val="24"/>
          <w:szCs w:val="24"/>
          <w:lang w:eastAsia="pl-PL"/>
        </w:rPr>
        <w:t>w biurach powiatowych ARiMR,</w:t>
      </w:r>
    </w:p>
    <w:p w:rsidR="00B81895" w:rsidRPr="00B81895" w:rsidRDefault="00B81895" w:rsidP="00B81895">
      <w:pPr>
        <w:numPr>
          <w:ilvl w:val="0"/>
          <w:numId w:val="5"/>
        </w:numPr>
        <w:spacing w:before="100" w:beforeAutospacing="1" w:after="100" w:afterAutospacing="1" w:line="360" w:lineRule="auto"/>
        <w:rPr>
          <w:rFonts w:ascii="Times New Roman" w:eastAsia="Times New Roman" w:hAnsi="Times New Roman" w:cs="Times New Roman"/>
          <w:sz w:val="24"/>
          <w:szCs w:val="24"/>
          <w:lang w:eastAsia="pl-PL"/>
        </w:rPr>
      </w:pPr>
      <w:r w:rsidRPr="00B81895">
        <w:rPr>
          <w:rFonts w:ascii="Times New Roman" w:eastAsia="Times New Roman" w:hAnsi="Times New Roman" w:cs="Times New Roman"/>
          <w:sz w:val="24"/>
          <w:szCs w:val="24"/>
          <w:lang w:eastAsia="pl-PL"/>
        </w:rPr>
        <w:t>w oddziałach regionalnych ARiMR,</w:t>
      </w:r>
    </w:p>
    <w:p w:rsidR="00B81895" w:rsidRPr="00B81895" w:rsidRDefault="00B81895" w:rsidP="00B81895">
      <w:pPr>
        <w:numPr>
          <w:ilvl w:val="0"/>
          <w:numId w:val="5"/>
        </w:numPr>
        <w:spacing w:before="100" w:beforeAutospacing="1" w:after="100" w:afterAutospacing="1" w:line="360" w:lineRule="auto"/>
        <w:rPr>
          <w:rFonts w:ascii="Times New Roman" w:eastAsia="Times New Roman" w:hAnsi="Times New Roman" w:cs="Times New Roman"/>
          <w:sz w:val="24"/>
          <w:szCs w:val="24"/>
          <w:lang w:eastAsia="pl-PL"/>
        </w:rPr>
      </w:pPr>
      <w:r w:rsidRPr="00B81895">
        <w:rPr>
          <w:rFonts w:ascii="Times New Roman" w:eastAsia="Times New Roman" w:hAnsi="Times New Roman" w:cs="Times New Roman"/>
          <w:sz w:val="24"/>
          <w:szCs w:val="24"/>
          <w:lang w:eastAsia="pl-PL"/>
        </w:rPr>
        <w:t>na stronie internetowej </w:t>
      </w:r>
      <w:hyperlink r:id="rId7" w:history="1">
        <w:r w:rsidRPr="00B81895">
          <w:rPr>
            <w:rFonts w:ascii="Times New Roman" w:eastAsia="Times New Roman" w:hAnsi="Times New Roman" w:cs="Times New Roman"/>
            <w:color w:val="0000FF"/>
            <w:sz w:val="24"/>
            <w:szCs w:val="24"/>
            <w:u w:val="single"/>
            <w:lang w:eastAsia="pl-PL"/>
          </w:rPr>
          <w:t>https://www.gov.pl/web/arimr/wniosek-o-wpis-do-ewidencji-producentow2</w:t>
        </w:r>
      </w:hyperlink>
      <w:r w:rsidRPr="00B81895">
        <w:rPr>
          <w:rFonts w:ascii="Times New Roman" w:eastAsia="Times New Roman" w:hAnsi="Times New Roman" w:cs="Times New Roman"/>
          <w:sz w:val="24"/>
          <w:szCs w:val="24"/>
          <w:lang w:eastAsia="pl-PL"/>
        </w:rPr>
        <w:t> (formularz W-1/04).</w:t>
      </w:r>
    </w:p>
    <w:p w:rsidR="00B81895" w:rsidRDefault="00B81895" w:rsidP="00B81895">
      <w:pPr>
        <w:pStyle w:val="Nagwek1"/>
      </w:pPr>
      <w:r>
        <w:t>Nabory wniosków w ramach Planu Strategicznego dla Wspólnej Polityki Rolnej na lata 2023-2027</w:t>
      </w:r>
    </w:p>
    <w:p w:rsidR="00B81895" w:rsidRDefault="00B81895" w:rsidP="00B81895">
      <w:pPr>
        <w:pStyle w:val="NormalnyWeb"/>
        <w:spacing w:line="360" w:lineRule="auto"/>
      </w:pPr>
      <w:r>
        <w:t>Nowy okres programowania w ramach Planu Strategicznego Wspólnej Polityki Rolnej na lata 2023-2027 niesie za sobą szereg zmian wpływających na zasady ogłaszania naborów wniosków o przyznanie pomocy:</w:t>
      </w:r>
    </w:p>
    <w:p w:rsidR="00B81895" w:rsidRDefault="00B81895" w:rsidP="00B81895">
      <w:pPr>
        <w:pStyle w:val="NormalnyWeb"/>
        <w:spacing w:line="360" w:lineRule="auto"/>
      </w:pPr>
      <w:r>
        <w:rPr>
          <w:rStyle w:val="Pogrubienie"/>
        </w:rPr>
        <w:t>Ograniczenia dla wcześniejszych beneficjentów w zakresie podejmowania działalności gospodarczej:</w:t>
      </w:r>
    </w:p>
    <w:p w:rsidR="00B81895" w:rsidRDefault="00B81895" w:rsidP="00B81895">
      <w:pPr>
        <w:pStyle w:val="NormalnyWeb"/>
        <w:spacing w:line="360" w:lineRule="auto"/>
      </w:pPr>
      <w:r>
        <w:t>W nowym okresie programowania PS WPR na lata 2023-2027 wprowadzono ograniczenie możliwości ubiegania się o wsparcie na podejmowanie działalności gospodarczej dla beneficjentów, którzy korzystali z takiej pomocy w ramach PROW 2014-2020.</w:t>
      </w:r>
    </w:p>
    <w:p w:rsidR="00B81895" w:rsidRDefault="00B81895" w:rsidP="00B81895">
      <w:pPr>
        <w:pStyle w:val="NormalnyWeb"/>
        <w:spacing w:line="360" w:lineRule="auto"/>
      </w:pPr>
      <w:r>
        <w:t>Ograniczenie to nie dotyczy beneficjentów, którzy złożyli wnioski o przyznanie pomocy, ale nie podpisali umowy na finansowanie swojego projektu.</w:t>
      </w:r>
    </w:p>
    <w:p w:rsidR="00B81895" w:rsidRDefault="00B81895" w:rsidP="00B81895">
      <w:pPr>
        <w:pStyle w:val="NormalnyWeb"/>
        <w:spacing w:line="360" w:lineRule="auto"/>
      </w:pPr>
      <w:r>
        <w:rPr>
          <w:rStyle w:val="Pogrubienie"/>
        </w:rPr>
        <w:t>Zamieszkanie na terenie obszaru objętego strategią</w:t>
      </w:r>
      <w:r>
        <w:t>:</w:t>
      </w:r>
    </w:p>
    <w:p w:rsidR="00B81895" w:rsidRDefault="00B81895" w:rsidP="00B81895">
      <w:pPr>
        <w:pStyle w:val="NormalnyWeb"/>
        <w:spacing w:line="360" w:lineRule="auto"/>
      </w:pPr>
      <w:r>
        <w:t xml:space="preserve">Jednym z kluczowych kryteriów kwalifikowalności w ramach PS WPR na lata 2023-2027 jest obowiązek zamieszkania lub posiadania przez wnioskodawcę siedziby lub oddziału firmy na terenie objętym Lokalną Strategią Rozwoju (LSR) przez minimum 12 miesięcy przed datą złożenia wniosku o dofinansowanie. </w:t>
      </w:r>
    </w:p>
    <w:p w:rsidR="00D245FB" w:rsidRDefault="00D245FB" w:rsidP="00B81895">
      <w:pPr>
        <w:pStyle w:val="NormalnyWeb"/>
        <w:spacing w:line="360" w:lineRule="auto"/>
        <w:rPr>
          <w:rStyle w:val="Pogrubienie"/>
        </w:rPr>
      </w:pPr>
    </w:p>
    <w:p w:rsidR="00B81895" w:rsidRDefault="00B81895" w:rsidP="00B81895">
      <w:pPr>
        <w:pStyle w:val="NormalnyWeb"/>
        <w:spacing w:line="360" w:lineRule="auto"/>
      </w:pPr>
      <w:r>
        <w:rPr>
          <w:rStyle w:val="Pogrubienie"/>
        </w:rPr>
        <w:lastRenderedPageBreak/>
        <w:t>Jeden beneficjent = jeden wniosek o przyznanie pomocy:</w:t>
      </w:r>
    </w:p>
    <w:p w:rsidR="00B81895" w:rsidRDefault="00B81895" w:rsidP="00B81895">
      <w:pPr>
        <w:pStyle w:val="NormalnyWeb"/>
        <w:spacing w:line="360" w:lineRule="auto"/>
      </w:pPr>
      <w:r>
        <w:t>W jednym naborze wniosków dany wnioskodawca może złożyć tylko jeden WOPP, za wyjątkiem naboru wniosków na projekty grantowe.</w:t>
      </w:r>
    </w:p>
    <w:p w:rsidR="00B81895" w:rsidRDefault="00B81895" w:rsidP="00B81895">
      <w:pPr>
        <w:pStyle w:val="NormalnyWeb"/>
        <w:spacing w:line="360" w:lineRule="auto"/>
      </w:pPr>
      <w:r>
        <w:rPr>
          <w:rStyle w:val="Pogrubienie"/>
        </w:rPr>
        <w:t>Forma elektroniczna wniosków:</w:t>
      </w:r>
    </w:p>
    <w:p w:rsidR="00B81895" w:rsidRDefault="00B81895" w:rsidP="00B81895">
      <w:pPr>
        <w:pStyle w:val="NormalnyWeb"/>
        <w:spacing w:line="360" w:lineRule="auto"/>
      </w:pPr>
      <w:r>
        <w:t>Kolejną, bardzo istotną zmianą jest to, że wnioski o przyznanie pomocy należy składać za pomocą systemu informatycznego Agencji Restrukturyzacji i Modernizacji Rolnictwa. Linki dostępu do poszczególnych generatorów wniosków będą udostępniane wraz z ogłoszeniem o naborze wniosków.</w:t>
      </w:r>
    </w:p>
    <w:p w:rsidR="00D16811" w:rsidRDefault="00D16811" w:rsidP="00B81895">
      <w:pPr>
        <w:spacing w:line="360" w:lineRule="auto"/>
        <w:jc w:val="both"/>
      </w:pPr>
    </w:p>
    <w:sectPr w:rsidR="00D16811" w:rsidSect="004231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C1C4C"/>
    <w:multiLevelType w:val="multilevel"/>
    <w:tmpl w:val="7118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35742E"/>
    <w:multiLevelType w:val="multilevel"/>
    <w:tmpl w:val="BDC85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AC341E"/>
    <w:multiLevelType w:val="multilevel"/>
    <w:tmpl w:val="28F48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AA4447"/>
    <w:multiLevelType w:val="multilevel"/>
    <w:tmpl w:val="302E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735AD5"/>
    <w:multiLevelType w:val="multilevel"/>
    <w:tmpl w:val="B5B45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2806905">
    <w:abstractNumId w:val="1"/>
  </w:num>
  <w:num w:numId="2" w16cid:durableId="1014653836">
    <w:abstractNumId w:val="2"/>
  </w:num>
  <w:num w:numId="3" w16cid:durableId="40061524">
    <w:abstractNumId w:val="4"/>
  </w:num>
  <w:num w:numId="4" w16cid:durableId="1275332362">
    <w:abstractNumId w:val="0"/>
  </w:num>
  <w:num w:numId="5" w16cid:durableId="6639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16811"/>
    <w:rsid w:val="0034516D"/>
    <w:rsid w:val="00423124"/>
    <w:rsid w:val="0079613F"/>
    <w:rsid w:val="00B81895"/>
    <w:rsid w:val="00D16811"/>
    <w:rsid w:val="00D245FB"/>
    <w:rsid w:val="00E623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842E"/>
  <w15:docId w15:val="{8A896F72-EFB7-4C35-939B-65D1C119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3124"/>
  </w:style>
  <w:style w:type="paragraph" w:styleId="Nagwek1">
    <w:name w:val="heading 1"/>
    <w:basedOn w:val="Normalny"/>
    <w:link w:val="Nagwek1Znak"/>
    <w:uiPriority w:val="9"/>
    <w:qFormat/>
    <w:rsid w:val="00D168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5">
    <w:name w:val="heading 5"/>
    <w:basedOn w:val="Normalny"/>
    <w:link w:val="Nagwek5Znak"/>
    <w:uiPriority w:val="9"/>
    <w:qFormat/>
    <w:rsid w:val="00D16811"/>
    <w:p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16811"/>
    <w:rPr>
      <w:rFonts w:ascii="Times New Roman" w:eastAsia="Times New Roman" w:hAnsi="Times New Roman" w:cs="Times New Roman"/>
      <w:b/>
      <w:bCs/>
      <w:kern w:val="36"/>
      <w:sz w:val="48"/>
      <w:szCs w:val="48"/>
      <w:lang w:eastAsia="pl-PL"/>
    </w:rPr>
  </w:style>
  <w:style w:type="character" w:customStyle="1" w:styleId="Nagwek5Znak">
    <w:name w:val="Nagłówek 5 Znak"/>
    <w:basedOn w:val="Domylnaczcionkaakapitu"/>
    <w:link w:val="Nagwek5"/>
    <w:uiPriority w:val="9"/>
    <w:rsid w:val="00D16811"/>
    <w:rPr>
      <w:rFonts w:ascii="Times New Roman" w:eastAsia="Times New Roman" w:hAnsi="Times New Roman" w:cs="Times New Roman"/>
      <w:b/>
      <w:bCs/>
      <w:sz w:val="20"/>
      <w:szCs w:val="20"/>
      <w:lang w:eastAsia="pl-PL"/>
    </w:rPr>
  </w:style>
  <w:style w:type="paragraph" w:customStyle="1" w:styleId="post-meta">
    <w:name w:val="post-meta"/>
    <w:basedOn w:val="Normalny"/>
    <w:rsid w:val="00D1681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published">
    <w:name w:val="published"/>
    <w:basedOn w:val="Domylnaczcionkaakapitu"/>
    <w:rsid w:val="00D16811"/>
  </w:style>
  <w:style w:type="paragraph" w:styleId="NormalnyWeb">
    <w:name w:val="Normal (Web)"/>
    <w:basedOn w:val="Normalny"/>
    <w:uiPriority w:val="99"/>
    <w:unhideWhenUsed/>
    <w:rsid w:val="00D1681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16811"/>
    <w:rPr>
      <w:b/>
      <w:bCs/>
    </w:rPr>
  </w:style>
  <w:style w:type="character" w:styleId="Hipercze">
    <w:name w:val="Hyperlink"/>
    <w:basedOn w:val="Domylnaczcionkaakapitu"/>
    <w:uiPriority w:val="99"/>
    <w:semiHidden/>
    <w:unhideWhenUsed/>
    <w:rsid w:val="00E623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25411">
      <w:bodyDiv w:val="1"/>
      <w:marLeft w:val="0"/>
      <w:marRight w:val="0"/>
      <w:marTop w:val="0"/>
      <w:marBottom w:val="0"/>
      <w:divBdr>
        <w:top w:val="none" w:sz="0" w:space="0" w:color="auto"/>
        <w:left w:val="none" w:sz="0" w:space="0" w:color="auto"/>
        <w:bottom w:val="none" w:sz="0" w:space="0" w:color="auto"/>
        <w:right w:val="none" w:sz="0" w:space="0" w:color="auto"/>
      </w:divBdr>
      <w:divsChild>
        <w:div w:id="433550789">
          <w:marLeft w:val="0"/>
          <w:marRight w:val="0"/>
          <w:marTop w:val="0"/>
          <w:marBottom w:val="0"/>
          <w:divBdr>
            <w:top w:val="none" w:sz="0" w:space="0" w:color="auto"/>
            <w:left w:val="none" w:sz="0" w:space="0" w:color="auto"/>
            <w:bottom w:val="none" w:sz="0" w:space="0" w:color="auto"/>
            <w:right w:val="none" w:sz="0" w:space="0" w:color="auto"/>
          </w:divBdr>
        </w:div>
        <w:div w:id="761488995">
          <w:marLeft w:val="0"/>
          <w:marRight w:val="0"/>
          <w:marTop w:val="0"/>
          <w:marBottom w:val="0"/>
          <w:divBdr>
            <w:top w:val="none" w:sz="0" w:space="0" w:color="auto"/>
            <w:left w:val="none" w:sz="0" w:space="0" w:color="auto"/>
            <w:bottom w:val="none" w:sz="0" w:space="0" w:color="auto"/>
            <w:right w:val="none" w:sz="0" w:space="0" w:color="auto"/>
          </w:divBdr>
        </w:div>
      </w:divsChild>
    </w:div>
    <w:div w:id="277488484">
      <w:bodyDiv w:val="1"/>
      <w:marLeft w:val="0"/>
      <w:marRight w:val="0"/>
      <w:marTop w:val="0"/>
      <w:marBottom w:val="0"/>
      <w:divBdr>
        <w:top w:val="none" w:sz="0" w:space="0" w:color="auto"/>
        <w:left w:val="none" w:sz="0" w:space="0" w:color="auto"/>
        <w:bottom w:val="none" w:sz="0" w:space="0" w:color="auto"/>
        <w:right w:val="none" w:sz="0" w:space="0" w:color="auto"/>
      </w:divBdr>
      <w:divsChild>
        <w:div w:id="1574241637">
          <w:marLeft w:val="0"/>
          <w:marRight w:val="0"/>
          <w:marTop w:val="0"/>
          <w:marBottom w:val="0"/>
          <w:divBdr>
            <w:top w:val="none" w:sz="0" w:space="0" w:color="auto"/>
            <w:left w:val="none" w:sz="0" w:space="0" w:color="auto"/>
            <w:bottom w:val="none" w:sz="0" w:space="0" w:color="auto"/>
            <w:right w:val="none" w:sz="0" w:space="0" w:color="auto"/>
          </w:divBdr>
        </w:div>
        <w:div w:id="1757943987">
          <w:marLeft w:val="0"/>
          <w:marRight w:val="0"/>
          <w:marTop w:val="0"/>
          <w:marBottom w:val="0"/>
          <w:divBdr>
            <w:top w:val="none" w:sz="0" w:space="0" w:color="auto"/>
            <w:left w:val="none" w:sz="0" w:space="0" w:color="auto"/>
            <w:bottom w:val="none" w:sz="0" w:space="0" w:color="auto"/>
            <w:right w:val="none" w:sz="0" w:space="0" w:color="auto"/>
          </w:divBdr>
        </w:div>
      </w:divsChild>
    </w:div>
    <w:div w:id="716900796">
      <w:bodyDiv w:val="1"/>
      <w:marLeft w:val="0"/>
      <w:marRight w:val="0"/>
      <w:marTop w:val="0"/>
      <w:marBottom w:val="0"/>
      <w:divBdr>
        <w:top w:val="none" w:sz="0" w:space="0" w:color="auto"/>
        <w:left w:val="none" w:sz="0" w:space="0" w:color="auto"/>
        <w:bottom w:val="none" w:sz="0" w:space="0" w:color="auto"/>
        <w:right w:val="none" w:sz="0" w:space="0" w:color="auto"/>
      </w:divBdr>
      <w:divsChild>
        <w:div w:id="1939870649">
          <w:marLeft w:val="0"/>
          <w:marRight w:val="0"/>
          <w:marTop w:val="0"/>
          <w:marBottom w:val="0"/>
          <w:divBdr>
            <w:top w:val="none" w:sz="0" w:space="0" w:color="auto"/>
            <w:left w:val="none" w:sz="0" w:space="0" w:color="auto"/>
            <w:bottom w:val="none" w:sz="0" w:space="0" w:color="auto"/>
            <w:right w:val="none" w:sz="0" w:space="0" w:color="auto"/>
          </w:divBdr>
        </w:div>
        <w:div w:id="1897008617">
          <w:marLeft w:val="0"/>
          <w:marRight w:val="0"/>
          <w:marTop w:val="0"/>
          <w:marBottom w:val="0"/>
          <w:divBdr>
            <w:top w:val="none" w:sz="0" w:space="0" w:color="auto"/>
            <w:left w:val="none" w:sz="0" w:space="0" w:color="auto"/>
            <w:bottom w:val="none" w:sz="0" w:space="0" w:color="auto"/>
            <w:right w:val="none" w:sz="0" w:space="0" w:color="auto"/>
          </w:divBdr>
        </w:div>
      </w:divsChild>
    </w:div>
    <w:div w:id="739449692">
      <w:bodyDiv w:val="1"/>
      <w:marLeft w:val="0"/>
      <w:marRight w:val="0"/>
      <w:marTop w:val="0"/>
      <w:marBottom w:val="0"/>
      <w:divBdr>
        <w:top w:val="none" w:sz="0" w:space="0" w:color="auto"/>
        <w:left w:val="none" w:sz="0" w:space="0" w:color="auto"/>
        <w:bottom w:val="none" w:sz="0" w:space="0" w:color="auto"/>
        <w:right w:val="none" w:sz="0" w:space="0" w:color="auto"/>
      </w:divBdr>
      <w:divsChild>
        <w:div w:id="981349558">
          <w:marLeft w:val="0"/>
          <w:marRight w:val="0"/>
          <w:marTop w:val="0"/>
          <w:marBottom w:val="0"/>
          <w:divBdr>
            <w:top w:val="none" w:sz="0" w:space="0" w:color="auto"/>
            <w:left w:val="none" w:sz="0" w:space="0" w:color="auto"/>
            <w:bottom w:val="none" w:sz="0" w:space="0" w:color="auto"/>
            <w:right w:val="none" w:sz="0" w:space="0" w:color="auto"/>
          </w:divBdr>
        </w:div>
        <w:div w:id="1157770074">
          <w:marLeft w:val="0"/>
          <w:marRight w:val="0"/>
          <w:marTop w:val="0"/>
          <w:marBottom w:val="0"/>
          <w:divBdr>
            <w:top w:val="none" w:sz="0" w:space="0" w:color="auto"/>
            <w:left w:val="none" w:sz="0" w:space="0" w:color="auto"/>
            <w:bottom w:val="none" w:sz="0" w:space="0" w:color="auto"/>
            <w:right w:val="none" w:sz="0" w:space="0" w:color="auto"/>
          </w:divBdr>
        </w:div>
      </w:divsChild>
    </w:div>
    <w:div w:id="1061441400">
      <w:bodyDiv w:val="1"/>
      <w:marLeft w:val="0"/>
      <w:marRight w:val="0"/>
      <w:marTop w:val="0"/>
      <w:marBottom w:val="0"/>
      <w:divBdr>
        <w:top w:val="none" w:sz="0" w:space="0" w:color="auto"/>
        <w:left w:val="none" w:sz="0" w:space="0" w:color="auto"/>
        <w:bottom w:val="none" w:sz="0" w:space="0" w:color="auto"/>
        <w:right w:val="none" w:sz="0" w:space="0" w:color="auto"/>
      </w:divBdr>
      <w:divsChild>
        <w:div w:id="1641156105">
          <w:marLeft w:val="0"/>
          <w:marRight w:val="0"/>
          <w:marTop w:val="0"/>
          <w:marBottom w:val="0"/>
          <w:divBdr>
            <w:top w:val="none" w:sz="0" w:space="0" w:color="auto"/>
            <w:left w:val="none" w:sz="0" w:space="0" w:color="auto"/>
            <w:bottom w:val="none" w:sz="0" w:space="0" w:color="auto"/>
            <w:right w:val="none" w:sz="0" w:space="0" w:color="auto"/>
          </w:divBdr>
        </w:div>
        <w:div w:id="1778140343">
          <w:marLeft w:val="0"/>
          <w:marRight w:val="0"/>
          <w:marTop w:val="0"/>
          <w:marBottom w:val="0"/>
          <w:divBdr>
            <w:top w:val="none" w:sz="0" w:space="0" w:color="auto"/>
            <w:left w:val="none" w:sz="0" w:space="0" w:color="auto"/>
            <w:bottom w:val="none" w:sz="0" w:space="0" w:color="auto"/>
            <w:right w:val="none" w:sz="0" w:space="0" w:color="auto"/>
          </w:divBdr>
        </w:div>
      </w:divsChild>
    </w:div>
    <w:div w:id="2069260014">
      <w:bodyDiv w:val="1"/>
      <w:marLeft w:val="0"/>
      <w:marRight w:val="0"/>
      <w:marTop w:val="0"/>
      <w:marBottom w:val="0"/>
      <w:divBdr>
        <w:top w:val="none" w:sz="0" w:space="0" w:color="auto"/>
        <w:left w:val="none" w:sz="0" w:space="0" w:color="auto"/>
        <w:bottom w:val="none" w:sz="0" w:space="0" w:color="auto"/>
        <w:right w:val="none" w:sz="0" w:space="0" w:color="auto"/>
      </w:divBdr>
      <w:divsChild>
        <w:div w:id="1509100953">
          <w:marLeft w:val="0"/>
          <w:marRight w:val="0"/>
          <w:marTop w:val="0"/>
          <w:marBottom w:val="0"/>
          <w:divBdr>
            <w:top w:val="none" w:sz="0" w:space="0" w:color="auto"/>
            <w:left w:val="none" w:sz="0" w:space="0" w:color="auto"/>
            <w:bottom w:val="none" w:sz="0" w:space="0" w:color="auto"/>
            <w:right w:val="none" w:sz="0" w:space="0" w:color="auto"/>
          </w:divBdr>
        </w:div>
        <w:div w:id="1159149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pl/web/arimr/wniosek-o-wpis-do-ewidencji-producentow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pl/web/arimr/platforma-uslug-elektronicznych" TargetMode="External"/><Relationship Id="rId5" Type="http://schemas.openxmlformats.org/officeDocument/2006/relationships/hyperlink" Target="https://www.gov.pl/web/rolnictwo/ksiega-wizualizacj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11</Pages>
  <Words>2664</Words>
  <Characters>15989</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LGD</dc:creator>
  <cp:lastModifiedBy>Włodzimierz Wróbel</cp:lastModifiedBy>
  <cp:revision>2</cp:revision>
  <dcterms:created xsi:type="dcterms:W3CDTF">2024-12-03T09:58:00Z</dcterms:created>
  <dcterms:modified xsi:type="dcterms:W3CDTF">2024-12-03T12:11:00Z</dcterms:modified>
</cp:coreProperties>
</file>